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NCP4 Compressor and Treatment Equipment Maintenance History</w:t>
      </w:r>
    </w:p>
    <w:p>
      <w:r>
        <w:t>Extract date: 09 June 2026. This file contains the signed maintenance history used to reconcile stale equipment-register entries and treatment-equipment condition.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08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224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Asset</w:t>
            </w:r>
          </w:p>
        </w:tc>
        <w:tc>
          <w:tcPr>
            <w:tcW w:type="dxa" w:w="144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3888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Maintenance detail</w:t>
            </w:r>
          </w:p>
        </w:tc>
        <w:tc>
          <w:tcPr>
            <w:tcW w:type="dxa" w:w="2088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3024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Engineering consequence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7"/>
              </w:rPr>
              <w:t>2025-02-14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7"/>
              </w:rPr>
              <w:t>C-102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7"/>
              </w:rPr>
              <w:t>Motor failure corrective action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Original motor and fixed-speed starter removed. Installed 75 kW premium-efficiency motor and ABB ACS880 VSD package. Commissioned trim range: 500-1,200 Nm3/h. Direct drive kW tag enabled.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7"/>
              </w:rPr>
              <w:t>Signed work order WO-25-0214-C102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Current configuration supersedes asset-register entry.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7"/>
              </w:rPr>
              <w:t>2025-03-02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7"/>
              </w:rPr>
              <w:t>C-102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7"/>
              </w:rPr>
              <w:t>Controls follow-up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Legacy calculated load-percent tag retained in historian for trend continuity. It still multiplies load percentage by old 90 kW basis and must not be used as electrical energy evidence.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7"/>
              </w:rPr>
              <w:t>Controls note CN-25-0302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Use direct C102_DRIVE_KW tag.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7"/>
              </w:rPr>
              <w:t>2026-05-18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7"/>
              </w:rPr>
              <w:t>C-103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7"/>
              </w:rPr>
              <w:t>Separator inspection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High oil carryover and elevated separator differential pressure. Unit locked out pending separator replacement, downstream cleanup, and vendor return-to-service sign-off.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7"/>
              </w:rPr>
              <w:t>Signed lockout record LOTO-26-0518-C103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C-103 unavailable. Do not count as standby or commissioning backup.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7"/>
              </w:rPr>
              <w:t>2026-06-05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7"/>
              </w:rPr>
              <w:t>DR-301 / F-301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7"/>
              </w:rPr>
              <w:t>Dryer-filter inspection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Peak treatment-train differential pressure measured between 0.33 and 0.36 bar. Coalescing-filter service overdue. Purge solenoid suspected to leak above nameplate purge estimate.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7"/>
              </w:rPr>
              <w:t>Signed service inspection SI-26-0605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Use 0.35 bar as-found peak drop for current-state pressure reconstruction; use serviced basis only for post-retrofit screening.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7"/>
              </w:rPr>
              <w:t>2026-06-06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7"/>
              </w:rPr>
              <w:t>C-101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7"/>
              </w:rPr>
              <w:t>Routine inspection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No material defects. Fixed-speed load/unload unit remains available for base-load duty.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7"/>
              </w:rPr>
              <w:t>Routine inspection RI-26-0606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Use as available base-load unit.</w:t>
            </w:r>
          </w:p>
        </w:tc>
      </w:tr>
    </w:tbl>
    <w:p>
      <w:pPr>
        <w:pStyle w:val="Heading1"/>
      </w:pPr>
      <w:r>
        <w:t>Open Maintenance and Commissioning Items</w:t>
      </w:r>
    </w:p>
    <w:p>
      <w:pPr>
        <w:pStyle w:val="ListBullet"/>
      </w:pPr>
      <w:r>
        <w:t>Confirm master-sequencer firmware compatibility with the proposed C-102 VSD integration module before purchase-order release.</w:t>
      </w:r>
    </w:p>
    <w:p>
      <w:pPr>
        <w:pStyle w:val="ListBullet"/>
      </w:pPr>
      <w:r>
        <w:t>Complete dryer/filter service and document post-service differential pressure during commissioning.</w:t>
      </w:r>
    </w:p>
    <w:p>
      <w:pPr>
        <w:pStyle w:val="ListBullet"/>
      </w:pPr>
      <w:r>
        <w:t>Do not return C-103 to standby duty until separator replacement, downstream cleanup, and vendor sign-off are complete.</w:t>
      </w:r>
    </w:p>
    <w:p>
      <w:pPr>
        <w:pStyle w:val="ListBullet"/>
      </w:pPr>
      <w:r>
        <w:t>Confirm safety-valve sizing and statutory inspection requirements for added receiver volume.</w:t>
      </w:r>
    </w:p>
    <w:p>
      <w:pPr>
        <w:pStyle w:val="Heading1"/>
      </w:pPr>
      <w:r>
        <w:t>Engineering Interpretation</w:t>
      </w:r>
    </w:p>
    <w:p>
      <w:r>
        <w:t>The asset register is a legacy record and is not the source of truth where a later signed work order or lockout record establishes the installed configuration or current availability. For modelling, C-101 is the available base-load unit, C-102 is the available VSD trim unit, and C-103 is unavailable.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