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50" w:before="0"/>
      </w:pPr>
      <w:r>
        <w:t>NCP4 Metering Walkdown and Tag Review</w:t>
      </w:r>
    </w:p>
    <w:p>
      <w:pPr>
        <w:spacing w:after="50" w:before="0"/>
      </w:pPr>
      <w:r>
        <w:rPr>
          <w:b/>
        </w:rPr>
        <w:t xml:space="preserve">Plant: </w:t>
      </w:r>
      <w:r>
        <w:t>Northline Components Plant 4</w:t>
        <w:br/>
      </w:r>
      <w:r>
        <w:rPr>
          <w:b/>
        </w:rPr>
        <w:t xml:space="preserve">Inspection date: </w:t>
      </w:r>
      <w:r>
        <w:t>08 June 2026</w:t>
        <w:br/>
      </w:r>
      <w:r>
        <w:rPr>
          <w:b/>
        </w:rPr>
        <w:t xml:space="preserve">Prepared by: </w:t>
      </w:r>
      <w:r>
        <w:t>Facilities Reliability Engineering</w:t>
        <w:br/>
      </w:r>
      <w:r>
        <w:rPr>
          <w:b/>
        </w:rPr>
        <w:t xml:space="preserve">Purpose: </w:t>
      </w:r>
      <w:r>
        <w:t>Field-verify compressed-air equipment configuration, historian tags, pressure-measurement locations, and unresolved engineering items before retrofit approval.</w:t>
      </w:r>
    </w:p>
    <w:p>
      <w:pPr>
        <w:pStyle w:val="Heading1"/>
        <w:spacing w:after="50" w:before="0"/>
      </w:pPr>
      <w:r>
        <w:t>1. Evidence-Handling Note</w:t>
      </w:r>
    </w:p>
    <w:p>
      <w:pPr>
        <w:spacing w:after="50" w:before="0"/>
      </w:pPr>
      <w:r>
        <w:t>This walkdown records field observations only. Field-verified nameplates and installed controls supersede stale register descriptions for current equipment configuration. A signed maintenance record is required to change equipment availability. Flowmeter scaling must be reconciled against the separate calibration workbook before logger values are used.</w:t>
      </w:r>
    </w:p>
    <w:p>
      <w:pPr>
        <w:pStyle w:val="Heading1"/>
        <w:spacing w:after="50" w:before="0"/>
      </w:pPr>
      <w:r>
        <w:t>2. Installed Equipment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152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type="dxa" w:w="3024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Field observation</w:t>
            </w:r>
          </w:p>
        </w:tc>
        <w:tc>
          <w:tcPr>
            <w:tcW w:type="dxa" w:w="2592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Conflict or status</w:t>
            </w:r>
          </w:p>
        </w:tc>
        <w:tc>
          <w:tcPr>
            <w:tcW w:type="dxa" w:w="3456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Engineering treatment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7"/>
              </w:rPr>
              <w:t>C-101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Motor nameplate: 110 kW. Local panel: fixed-speed load/unload.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Matches asset register.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Use as available base-load unit.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7"/>
              </w:rPr>
              <w:t>C-102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Motor nameplate: 75 kW. ABB ACS880 variable-speed drive fitted. Local HMI shows 500-1,200 Nm3/h trim range.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Conflicts with register entry of 90 kW fixed-speed compressor.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Use field verification with maintenance record. Do not use the old 90 kW load-percentage calculation as a power meter.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7"/>
              </w:rPr>
              <w:t>C-103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Unit isolated and tagged OUT OF SERVICE. Oil residue visible downstream of separator housing.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Conflicts with register status 'available'.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Use maintenance history to determine availability. Do not count C-103 as operating or commissioning backup capacity.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7"/>
              </w:rPr>
              <w:t>DR-301 / F-301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Dryer and filter train remain in service. Differential pressure alarm observed during high-flow event.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Register lists only clean-element pressure drop.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Use as-found peak differential pressure for current pressure reconstruction; use clean serviced value only for post-retrofit scenario.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7"/>
              </w:rPr>
              <w:t>V-401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7"/>
              </w:rPr>
              <w:t>Receiver nameplate indicates 6.0 m3 geometric volume.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7"/>
              </w:rPr>
              <w:t>Matches register.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7"/>
              </w:rPr>
              <w:t>Treat 6.0 m3 as existing geometric storage volume.</w:t>
            </w:r>
          </w:p>
        </w:tc>
      </w:tr>
    </w:tbl>
    <w:p>
      <w:pPr>
        <w:pStyle w:val="Heading1"/>
        <w:spacing w:after="50" w:before="0"/>
      </w:pPr>
      <w:r>
        <w:t>3. Historian and Transmitter Tag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872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Tag</w:t>
            </w:r>
          </w:p>
        </w:tc>
        <w:tc>
          <w:tcPr>
            <w:tcW w:type="dxa" w:w="288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As-found configuration</w:t>
            </w:r>
          </w:p>
        </w:tc>
        <w:tc>
          <w:tcPr>
            <w:tcW w:type="dxa" w:w="288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Conflict</w:t>
            </w:r>
          </w:p>
        </w:tc>
        <w:tc>
          <w:tcPr>
            <w:tcW w:type="dxa" w:w="3168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Engineering treatment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7"/>
              </w:rPr>
              <w:t>FT-201_MAIN_FLOW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Historian configured for 0-1,800 Nm3/h at 4-20 mA.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Replacement transmitter plate indicates 0-2,400 Nm3/h.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Historian flow export is under-scaled. Apply the correction factor recorded in the calibration workbook.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7"/>
              </w:rPr>
              <w:t>C102_LOAD_PCT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Derived tag multiplies drive loading percentage by legacy 90 kW motor rating.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Installed motor is 75 kW and VSD panel exposes direct kW measurement.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Reject derived legacy power tag. Use C102_DRIVE_KW.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7"/>
              </w:rPr>
              <w:t>PT-401_HEADER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Receiver discharge header pressure at compressor room.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Valid sensor location.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Use as upstream pressure only; it is not the packaging-hall point-of-use pressure.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7"/>
              </w:rPr>
              <w:t>PT-404_PACK_POI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Packaging line point-of-use pressure downstream of treatment, ring main, and local regulator.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7"/>
              </w:rPr>
              <w:t>Critical sensor confirmed at packaging manifold.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7"/>
              </w:rPr>
              <w:t>Use to judge the 6.30 bar(g) packaging requirement.</w:t>
            </w:r>
          </w:p>
        </w:tc>
      </w:tr>
    </w:tbl>
    <w:p>
      <w:pPr>
        <w:pStyle w:val="Heading1"/>
        <w:spacing w:after="50" w:before="0"/>
      </w:pPr>
      <w:r>
        <w:t>4. Simultaneous Peak-Event Pressure Walkdown</w:t>
      </w:r>
    </w:p>
    <w:p>
      <w:pPr>
        <w:spacing w:after="50" w:before="0"/>
      </w:pPr>
      <w:r>
        <w:t>A short packaging-hall high-demand event was observed at 14:17:20. Values below are simultaneous field readings cross-checked against the logger workbook.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Measurement point</w:t>
            </w:r>
          </w:p>
        </w:tc>
        <w:tc>
          <w:tcPr>
            <w:tcW w:type="dxa" w:w="1728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Observed pressure</w:t>
            </w:r>
          </w:p>
        </w:tc>
        <w:tc>
          <w:tcPr>
            <w:tcW w:type="dxa" w:w="5472"/>
            <w:vAlign w:val="center"/>
            <w:shd w:fill="1F4E78"/>
          </w:tcPr>
          <w:p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PT-401 receiver header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6.95 bar(g)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Upstream reference.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Dryer/filter outlet gauge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6.60 bar(g)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0.35 bar drop across DR-301/F-301 as found.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Packaging-hall ring-main inlet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6.32 bar(g)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Additional 0.28 bar distribution drop.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PT-404 packaging manifold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7"/>
              </w:rPr>
              <w:t>6.16 bar(g)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7"/>
              </w:rPr>
              <w:t>Additional 0.16 bar local regulator/branch drop; below required 6.30 bar(g).</w:t>
            </w:r>
          </w:p>
        </w:tc>
      </w:tr>
    </w:tbl>
    <w:p>
      <w:pPr>
        <w:pStyle w:val="Heading1"/>
        <w:spacing w:after="50" w:before="0"/>
      </w:pPr>
      <w:r>
        <w:t>5. Post-Service Pressure-Drop Basis for Retrofit Screening</w:t>
      </w:r>
    </w:p>
    <w:p>
      <w:pPr>
        <w:spacing w:after="50" w:before="0"/>
      </w:pPr>
      <w:r>
        <w:t>For post-retrofit screening only, facilities engineering authorizes the following maintained pressure-drop assumptions at the corrected peak flow: 0.18 bar across serviced dryer/filter equipment, 0.25 bar through the distribution route, and 0.12 bar through the local regulator and branch connection. The retrofit must maintain at least 6.30 bar(g) at PT-404.</w:t>
      </w:r>
    </w:p>
    <w:p>
      <w:pPr>
        <w:pStyle w:val="Heading1"/>
        <w:spacing w:after="50" w:before="0"/>
      </w:pPr>
      <w:r>
        <w:t>6. Unresolved Items Requiring Follow-Up</w:t>
      </w:r>
    </w:p>
    <w:p>
      <w:pPr>
        <w:pStyle w:val="ListBullet"/>
        <w:spacing w:after="50" w:before="0"/>
      </w:pPr>
      <w:r>
        <w:t>The receiver-pad structural drawing and anchor-bolt verification for a new receiver are not present in the supplied package.</w:t>
      </w:r>
    </w:p>
    <w:p>
      <w:pPr>
        <w:pStyle w:val="ListBullet"/>
        <w:spacing w:after="50" w:before="0"/>
      </w:pPr>
      <w:r>
        <w:t>The installed master-sequencer firmware version has not been checked against the proposed C-102 VSD integration module.</w:t>
      </w:r>
    </w:p>
    <w:p>
      <w:pPr>
        <w:pStyle w:val="ListBullet"/>
        <w:spacing w:after="50" w:before="0"/>
      </w:pPr>
      <w:r>
        <w:t>The final safety-valve selection and statutory inspection plan for added receiver capacity are not included.</w:t>
      </w:r>
    </w:p>
    <w:p>
      <w:pPr>
        <w:pStyle w:val="ListBullet"/>
        <w:spacing w:after="50" w:before="0"/>
      </w:pPr>
      <w:r>
        <w:t>A potential future packaging-line expansion is mentioned informally but has no approved demand profile or project authorization.</w:t>
      </w:r>
    </w:p>
    <w:p>
      <w:pPr>
        <w:pStyle w:val="Heading1"/>
        <w:spacing w:after="50" w:before="0"/>
      </w:pPr>
      <w:r>
        <w:t>7. Domain Reasoning Notes for the Reviewer</w:t>
      </w:r>
    </w:p>
    <w:p>
      <w:pPr>
        <w:pStyle w:val="ListBullet"/>
        <w:spacing w:after="50" w:before="0"/>
      </w:pPr>
      <w:r>
        <w:t>Do not use compressor-room header pressure as a substitute for the critical point-of-use pressure.</w:t>
      </w:r>
    </w:p>
    <w:p>
      <w:pPr>
        <w:pStyle w:val="ListBullet"/>
        <w:spacing w:after="50" w:before="0"/>
      </w:pPr>
      <w:r>
        <w:t>Do not combine distribution leakage and dryer purge loss into one loss category.</w:t>
      </w:r>
    </w:p>
    <w:p>
      <w:pPr>
        <w:pStyle w:val="ListBullet"/>
        <w:spacing w:after="50" w:before="0"/>
      </w:pPr>
      <w:r>
        <w:t>Do not treat a stale asset register as authoritative when later field and maintenance records establish the installed configuration.</w:t>
      </w:r>
    </w:p>
    <w:p>
      <w:pPr>
        <w:pStyle w:val="ListBullet"/>
        <w:spacing w:after="50" w:before="0"/>
      </w:pPr>
      <w:r>
        <w:t>Do not count an unavailable compressor toward reliable capacity or commissioning backup.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