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Old Mill Road Storm Drain Inspection and Condition Notes</w:t>
      </w:r>
    </w:p>
    <w:p>
      <w:r>
        <w:t>Brookhaven County Public Works | Inspection dates: 2026-04-08 to 2026-04-12 | Finalized: 2026-04-18</w:t>
      </w:r>
    </w:p>
    <w:p>
      <w:pPr>
        <w:pStyle w:val="Heading1"/>
      </w:pPr>
      <w:r>
        <w:t>1. Inspection scope and use instruction</w:t>
      </w:r>
    </w:p>
    <w:p>
      <w:r>
        <w:t>These inspection notes provide the current field condition basis for existing-pipe roughness and maintenance constraints. Where these notes conflict with the preliminary calculation workbook's generic Manning n values, use the condition-based values below for the existing-condition capacity check.</w:t>
      </w:r>
    </w:p>
    <w:p>
      <w:pPr>
        <w:pStyle w:val="Heading1"/>
      </w:pPr>
      <w:r>
        <w:t>2. Pipe condition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Asset</w:t>
            </w:r>
          </w:p>
        </w:tc>
        <w:tc>
          <w:tcPr>
            <w:tcW w:type="dxa" w:w="1461"/>
          </w:tcPr>
          <w:p>
            <w:r>
              <w:t>Material</w:t>
            </w:r>
          </w:p>
        </w:tc>
        <w:tc>
          <w:tcPr>
            <w:tcW w:type="dxa" w:w="1461"/>
          </w:tcPr>
          <w:p>
            <w:r>
              <w:t>Observed condition</w:t>
            </w:r>
          </w:p>
        </w:tc>
        <w:tc>
          <w:tcPr>
            <w:tcW w:type="dxa" w:w="1461"/>
          </w:tcPr>
          <w:p>
            <w:r>
              <w:t>Sediment/debris</w:t>
            </w:r>
          </w:p>
        </w:tc>
        <w:tc>
          <w:tcPr>
            <w:tcW w:type="dxa" w:w="1461"/>
          </w:tcPr>
          <w:p>
            <w:r>
              <w:t>Joint condition</w:t>
            </w:r>
          </w:p>
        </w:tc>
        <w:tc>
          <w:tcPr>
            <w:tcW w:type="dxa" w:w="1461"/>
          </w:tcPr>
          <w:p>
            <w:r>
              <w:t>Existing-condition n</w:t>
            </w:r>
          </w:p>
        </w:tc>
        <w:tc>
          <w:tcPr>
            <w:tcW w:type="dxa" w:w="1461"/>
          </w:tcPr>
          <w:p>
            <w:r>
              <w:t>Engineering note</w:t>
            </w:r>
          </w:p>
        </w:tc>
      </w:tr>
      <w:tr>
        <w:tc>
          <w:tcPr>
            <w:tcW w:type="dxa" w:w="1461"/>
          </w:tcPr>
          <w:p>
            <w:r>
              <w:t>P-1</w:t>
            </w:r>
          </w:p>
        </w:tc>
        <w:tc>
          <w:tcPr>
            <w:tcW w:type="dxa" w:w="1461"/>
          </w:tcPr>
          <w:p>
            <w:r>
              <w:t>RCP</w:t>
            </w:r>
          </w:p>
        </w:tc>
        <w:tc>
          <w:tcPr>
            <w:tcW w:type="dxa" w:w="1461"/>
          </w:tcPr>
          <w:p>
            <w:r>
              <w:t>Minor staining, no barrel deformation</w:t>
            </w:r>
          </w:p>
        </w:tc>
        <w:tc>
          <w:tcPr>
            <w:tcW w:type="dxa" w:w="1461"/>
          </w:tcPr>
          <w:p>
            <w:r>
              <w:t>&lt;5 percent area</w:t>
            </w:r>
          </w:p>
        </w:tc>
        <w:tc>
          <w:tcPr>
            <w:tcW w:type="dxa" w:w="1461"/>
          </w:tcPr>
          <w:p>
            <w:r>
              <w:t>tight joints</w:t>
            </w:r>
          </w:p>
        </w:tc>
        <w:tc>
          <w:tcPr>
            <w:tcW w:type="dxa" w:w="1461"/>
          </w:tcPr>
          <w:p>
            <w:r>
              <w:t>0.013</w:t>
            </w:r>
          </w:p>
        </w:tc>
        <w:tc>
          <w:tcPr>
            <w:tcW w:type="dxa" w:w="1461"/>
          </w:tcPr>
          <w:p>
            <w:r>
              <w:t>Use slightly aged RCP roughness.</w:t>
            </w:r>
          </w:p>
        </w:tc>
      </w:tr>
      <w:tr>
        <w:tc>
          <w:tcPr>
            <w:tcW w:type="dxa" w:w="1461"/>
          </w:tcPr>
          <w:p>
            <w:r>
              <w:t>P-2</w:t>
            </w:r>
          </w:p>
        </w:tc>
        <w:tc>
          <w:tcPr>
            <w:tcW w:type="dxa" w:w="1461"/>
          </w:tcPr>
          <w:p>
            <w:r>
              <w:t>RCP</w:t>
            </w:r>
          </w:p>
        </w:tc>
        <w:tc>
          <w:tcPr>
            <w:tcW w:type="dxa" w:w="1461"/>
          </w:tcPr>
          <w:p>
            <w:r>
              <w:t>Moderate staining with offset joints at two locations</w:t>
            </w:r>
          </w:p>
        </w:tc>
        <w:tc>
          <w:tcPr>
            <w:tcW w:type="dxa" w:w="1461"/>
          </w:tcPr>
          <w:p>
            <w:r>
              <w:t>8-12 percent area</w:t>
            </w:r>
          </w:p>
        </w:tc>
        <w:tc>
          <w:tcPr>
            <w:tcW w:type="dxa" w:w="1461"/>
          </w:tcPr>
          <w:p>
            <w:r>
              <w:t>minor offsets</w:t>
            </w:r>
          </w:p>
        </w:tc>
        <w:tc>
          <w:tcPr>
            <w:tcW w:type="dxa" w:w="1461"/>
          </w:tcPr>
          <w:p>
            <w:r>
              <w:t>0.015</w:t>
            </w:r>
          </w:p>
        </w:tc>
        <w:tc>
          <w:tcPr>
            <w:tcW w:type="dxa" w:w="1461"/>
          </w:tcPr>
          <w:p>
            <w:r>
              <w:t>Use condition roughness; generic 0.012 is not appropriate.</w:t>
            </w:r>
          </w:p>
        </w:tc>
      </w:tr>
      <w:tr>
        <w:tc>
          <w:tcPr>
            <w:tcW w:type="dxa" w:w="1461"/>
          </w:tcPr>
          <w:p>
            <w:r>
              <w:t>P-3</w:t>
            </w:r>
          </w:p>
        </w:tc>
        <w:tc>
          <w:tcPr>
            <w:tcW w:type="dxa" w:w="1461"/>
          </w:tcPr>
          <w:p>
            <w:r>
              <w:t>RCP</w:t>
            </w:r>
          </w:p>
        </w:tc>
        <w:tc>
          <w:tcPr>
            <w:tcW w:type="dxa" w:w="1461"/>
          </w:tcPr>
          <w:p>
            <w:r>
              <w:t>Aged barrel with visible joint offset and sediment shelf</w:t>
            </w:r>
          </w:p>
        </w:tc>
        <w:tc>
          <w:tcPr>
            <w:tcW w:type="dxa" w:w="1461"/>
          </w:tcPr>
          <w:p>
            <w:r>
              <w:t>12-18 percent area</w:t>
            </w:r>
          </w:p>
        </w:tc>
        <w:tc>
          <w:tcPr>
            <w:tcW w:type="dxa" w:w="1461"/>
          </w:tcPr>
          <w:p>
            <w:r>
              <w:t>offset joints</w:t>
            </w:r>
          </w:p>
        </w:tc>
        <w:tc>
          <w:tcPr>
            <w:tcW w:type="dxa" w:w="1461"/>
          </w:tcPr>
          <w:p>
            <w:r>
              <w:t>0.015</w:t>
            </w:r>
          </w:p>
        </w:tc>
        <w:tc>
          <w:tcPr>
            <w:tcW w:type="dxa" w:w="1461"/>
          </w:tcPr>
          <w:p>
            <w:r>
              <w:t>Use condition roughness; inspect after cleaning.</w:t>
            </w:r>
          </w:p>
        </w:tc>
      </w:tr>
      <w:tr>
        <w:tc>
          <w:tcPr>
            <w:tcW w:type="dxa" w:w="1461"/>
          </w:tcPr>
          <w:p>
            <w:r>
              <w:t>P-4</w:t>
            </w:r>
          </w:p>
        </w:tc>
        <w:tc>
          <w:tcPr>
            <w:tcW w:type="dxa" w:w="1461"/>
          </w:tcPr>
          <w:p>
            <w:r>
              <w:t>CMP</w:t>
            </w:r>
          </w:p>
        </w:tc>
        <w:tc>
          <w:tcPr>
            <w:tcW w:type="dxa" w:w="1461"/>
          </w:tcPr>
          <w:p>
            <w:r>
              <w:t>Rust scaling, flattened corrugation peaks, debris at outlet</w:t>
            </w:r>
          </w:p>
        </w:tc>
        <w:tc>
          <w:tcPr>
            <w:tcW w:type="dxa" w:w="1461"/>
          </w:tcPr>
          <w:p>
            <w:r>
              <w:t>10-15 percent area</w:t>
            </w:r>
          </w:p>
        </w:tc>
        <w:tc>
          <w:tcPr>
            <w:tcW w:type="dxa" w:w="1461"/>
          </w:tcPr>
          <w:p>
            <w:r>
              <w:t>not applicable</w:t>
            </w:r>
          </w:p>
        </w:tc>
        <w:tc>
          <w:tcPr>
            <w:tcW w:type="dxa" w:w="1461"/>
          </w:tcPr>
          <w:p>
            <w:r>
              <w:t>0.024</w:t>
            </w:r>
          </w:p>
        </w:tc>
        <w:tc>
          <w:tcPr>
            <w:tcW w:type="dxa" w:w="1461"/>
          </w:tcPr>
          <w:p>
            <w:r>
              <w:t>Use aged CMP roughness for existing condition.</w:t>
            </w:r>
          </w:p>
        </w:tc>
      </w:tr>
      <w:tr>
        <w:tc>
          <w:tcPr>
            <w:tcW w:type="dxa" w:w="1461"/>
          </w:tcPr>
          <w:p>
            <w:r>
              <w:t>OUT-1 arch</w:t>
            </w:r>
          </w:p>
        </w:tc>
        <w:tc>
          <w:tcPr>
            <w:tcW w:type="dxa" w:w="1461"/>
          </w:tcPr>
          <w:p>
            <w:r>
              <w:t>CMP arch</w:t>
            </w:r>
          </w:p>
        </w:tc>
        <w:tc>
          <w:tcPr>
            <w:tcW w:type="dxa" w:w="1461"/>
          </w:tcPr>
          <w:p>
            <w:r>
              <w:t>Rust, debris rack partially blocked, apron undermined</w:t>
            </w:r>
          </w:p>
        </w:tc>
        <w:tc>
          <w:tcPr>
            <w:tcW w:type="dxa" w:w="1461"/>
          </w:tcPr>
          <w:p>
            <w:r>
              <w:t>20 percent inlet obstruction observed</w:t>
            </w:r>
          </w:p>
        </w:tc>
        <w:tc>
          <w:tcPr>
            <w:tcW w:type="dxa" w:w="1461"/>
          </w:tcPr>
          <w:p>
            <w:r>
              <w:t>not applicable</w:t>
            </w:r>
          </w:p>
        </w:tc>
        <w:tc>
          <w:tcPr>
            <w:tcW w:type="dxa" w:w="1461"/>
          </w:tcPr>
          <w:p>
            <w:r>
              <w:t>0.024</w:t>
            </w:r>
          </w:p>
        </w:tc>
        <w:tc>
          <w:tcPr>
            <w:tcW w:type="dxa" w:w="1461"/>
          </w:tcPr>
          <w:p>
            <w:r>
              <w:t>HDS-5 screening must note uncertain inlet blockage and tailwater.</w:t>
            </w:r>
          </w:p>
        </w:tc>
      </w:tr>
    </w:tbl>
    <w:p>
      <w:pPr>
        <w:pStyle w:val="Heading1"/>
      </w:pPr>
      <w:r>
        <w:t>3. Node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Node</w:t>
            </w:r>
          </w:p>
        </w:tc>
        <w:tc>
          <w:tcPr>
            <w:tcW w:type="dxa" w:w="2045"/>
          </w:tcPr>
          <w:p>
            <w:r>
              <w:t>Observation</w:t>
            </w:r>
          </w:p>
        </w:tc>
        <w:tc>
          <w:tcPr>
            <w:tcW w:type="dxa" w:w="2045"/>
          </w:tcPr>
          <w:p>
            <w:r>
              <w:t>Measured sediment depth</w:t>
            </w:r>
          </w:p>
        </w:tc>
        <w:tc>
          <w:tcPr>
            <w:tcW w:type="dxa" w:w="2045"/>
          </w:tcPr>
          <w:p>
            <w:r>
              <w:t>Public complaint link</w:t>
            </w:r>
          </w:p>
        </w:tc>
        <w:tc>
          <w:tcPr>
            <w:tcW w:type="dxa" w:w="2045"/>
          </w:tcPr>
          <w:p>
            <w:r>
              <w:t>Recommended treatment</w:t>
            </w:r>
          </w:p>
        </w:tc>
      </w:tr>
      <w:tr>
        <w:tc>
          <w:tcPr>
            <w:tcW w:type="dxa" w:w="2045"/>
          </w:tcPr>
          <w:p>
            <w:r>
              <w:t>CB-1</w:t>
            </w:r>
          </w:p>
        </w:tc>
        <w:tc>
          <w:tcPr>
            <w:tcW w:type="dxa" w:w="2045"/>
          </w:tcPr>
          <w:p>
            <w:r>
              <w:t>Grate clear during inspection; gutter depression holds shallow ponding after storm.</w:t>
            </w:r>
          </w:p>
        </w:tc>
        <w:tc>
          <w:tcPr>
            <w:tcW w:type="dxa" w:w="2045"/>
          </w:tcPr>
          <w:p>
            <w:r>
              <w:t>0.05 ft</w:t>
            </w:r>
          </w:p>
        </w:tc>
        <w:tc>
          <w:tcPr>
            <w:tcW w:type="dxa" w:w="2045"/>
          </w:tcPr>
          <w:p>
            <w:r>
              <w:t>Several minor splash complaints</w:t>
            </w:r>
          </w:p>
        </w:tc>
        <w:tc>
          <w:tcPr>
            <w:tcW w:type="dxa" w:w="2045"/>
          </w:tcPr>
          <w:p>
            <w:r>
              <w:t>Regrade gutter lip only if full sag reconstruction proceeds.</w:t>
            </w:r>
          </w:p>
        </w:tc>
      </w:tr>
      <w:tr>
        <w:tc>
          <w:tcPr>
            <w:tcW w:type="dxa" w:w="2045"/>
          </w:tcPr>
          <w:p>
            <w:r>
              <w:t>MH-2</w:t>
            </w:r>
          </w:p>
        </w:tc>
        <w:tc>
          <w:tcPr>
            <w:tcW w:type="dxa" w:w="2045"/>
          </w:tcPr>
          <w:p>
            <w:r>
              <w:t>No surcharge stain above crown; lateral flow from swale visible.</w:t>
            </w:r>
          </w:p>
        </w:tc>
        <w:tc>
          <w:tcPr>
            <w:tcW w:type="dxa" w:w="2045"/>
          </w:tcPr>
          <w:p>
            <w:r>
              <w:t>0.10 ft</w:t>
            </w:r>
          </w:p>
        </w:tc>
        <w:tc>
          <w:tcPr>
            <w:tcW w:type="dxa" w:w="2045"/>
          </w:tcPr>
          <w:p>
            <w:r>
              <w:t>No direct complaints</w:t>
            </w:r>
          </w:p>
        </w:tc>
        <w:tc>
          <w:tcPr>
            <w:tcW w:type="dxa" w:w="2045"/>
          </w:tcPr>
          <w:p>
            <w:r>
              <w:t>Clean pipe inlet before construction.</w:t>
            </w:r>
          </w:p>
        </w:tc>
      </w:tr>
      <w:tr>
        <w:tc>
          <w:tcPr>
            <w:tcW w:type="dxa" w:w="2045"/>
          </w:tcPr>
          <w:p>
            <w:r>
              <w:t>MH-3</w:t>
            </w:r>
          </w:p>
        </w:tc>
        <w:tc>
          <w:tcPr>
            <w:tcW w:type="dxa" w:w="2045"/>
          </w:tcPr>
          <w:p>
            <w:r>
              <w:t>Surcharge stain approximately 0.40 ft below rim.</w:t>
            </w:r>
          </w:p>
        </w:tc>
        <w:tc>
          <w:tcPr>
            <w:tcW w:type="dxa" w:w="2045"/>
          </w:tcPr>
          <w:p>
            <w:r>
              <w:t>0.18 ft</w:t>
            </w:r>
          </w:p>
        </w:tc>
        <w:tc>
          <w:tcPr>
            <w:tcW w:type="dxa" w:w="2045"/>
          </w:tcPr>
          <w:p>
            <w:r>
              <w:t>Maintenance crew noted gurgling.</w:t>
            </w:r>
          </w:p>
        </w:tc>
        <w:tc>
          <w:tcPr>
            <w:tcW w:type="dxa" w:w="2045"/>
          </w:tcPr>
          <w:p>
            <w:r>
              <w:t>Use in HGL profile; confirm after P-3 cleaning.</w:t>
            </w:r>
          </w:p>
        </w:tc>
      </w:tr>
      <w:tr>
        <w:tc>
          <w:tcPr>
            <w:tcW w:type="dxa" w:w="2045"/>
          </w:tcPr>
          <w:p>
            <w:r>
              <w:t>CB-3</w:t>
            </w:r>
          </w:p>
        </w:tc>
        <w:tc>
          <w:tcPr>
            <w:tcW w:type="dxa" w:w="2045"/>
          </w:tcPr>
          <w:p>
            <w:r>
              <w:t>Debris line on curb return and inlet throat; high-water mark 0.08 ft below gutter during April 9 event.</w:t>
            </w:r>
          </w:p>
        </w:tc>
        <w:tc>
          <w:tcPr>
            <w:tcW w:type="dxa" w:w="2045"/>
          </w:tcPr>
          <w:p>
            <w:r>
              <w:t>0.25 ft</w:t>
            </w:r>
          </w:p>
        </w:tc>
        <w:tc>
          <w:tcPr>
            <w:tcW w:type="dxa" w:w="2045"/>
          </w:tcPr>
          <w:p>
            <w:r>
              <w:t>Primary complaint cluster</w:t>
            </w:r>
          </w:p>
        </w:tc>
        <w:tc>
          <w:tcPr>
            <w:tcW w:type="dxa" w:w="2045"/>
          </w:tcPr>
          <w:p>
            <w:r>
              <w:t>Hydraulic capacity improvement required.</w:t>
            </w:r>
          </w:p>
        </w:tc>
      </w:tr>
      <w:tr>
        <w:tc>
          <w:tcPr>
            <w:tcW w:type="dxa" w:w="2045"/>
          </w:tcPr>
          <w:p>
            <w:r>
              <w:t>OUT-1</w:t>
            </w:r>
          </w:p>
        </w:tc>
        <w:tc>
          <w:tcPr>
            <w:tcW w:type="dxa" w:w="2045"/>
          </w:tcPr>
          <w:p>
            <w:r>
              <w:t>Tailwater mark at 212.34 ft; woody debris on upstream face.</w:t>
            </w:r>
          </w:p>
        </w:tc>
        <w:tc>
          <w:tcPr>
            <w:tcW w:type="dxa" w:w="2045"/>
          </w:tcPr>
          <w:p>
            <w:r>
              <w:t>0.30 ft at inlet</w:t>
            </w:r>
          </w:p>
        </w:tc>
        <w:tc>
          <w:tcPr>
            <w:tcW w:type="dxa" w:w="2045"/>
          </w:tcPr>
          <w:p>
            <w:r>
              <w:t>Downstream resident reports yard flooding</w:t>
            </w:r>
          </w:p>
        </w:tc>
        <w:tc>
          <w:tcPr>
            <w:tcW w:type="dxa" w:w="2045"/>
          </w:tcPr>
          <w:p>
            <w:r>
              <w:t>Carry tailwater/debris uncertainty as open item.</w:t>
            </w:r>
          </w:p>
        </w:tc>
      </w:tr>
    </w:tbl>
    <w:p>
      <w:pPr>
        <w:pStyle w:val="Heading1"/>
      </w:pPr>
      <w:r>
        <w:t>4. Maintenance and permitting notes</w:t>
      </w:r>
    </w:p>
    <w:p>
      <w:pPr>
        <w:pStyle w:val="ListBullet"/>
      </w:pPr>
      <w:r>
        <w:t>Routine pipe cleaning is allowed within the existing right-of-way.</w:t>
      </w:r>
    </w:p>
    <w:p>
      <w:pPr>
        <w:pStyle w:val="ListBullet"/>
      </w:pPr>
      <w:r>
        <w:t>In-channel work at Willow Branch requires permit readiness before construction authorization.</w:t>
      </w:r>
    </w:p>
    <w:p>
      <w:pPr>
        <w:pStyle w:val="ListBullet"/>
      </w:pPr>
      <w:r>
        <w:t>No recorded easement exists for work south of parcel 17-044; the county surveyor flagged this in the ROW review.</w:t>
      </w:r>
    </w:p>
    <w:p>
      <w:pPr>
        <w:pStyle w:val="ListBullet"/>
      </w:pPr>
      <w:r>
        <w:t>Sediment removal alone is not expected to resolve the 25-year sag flooding condition.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Auxiliary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Auxiliary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Brookhaven County Public Works</dc:creator>
  <cp:keywords/>
  <dc:description>Field inspection notes for Old Mill Road drainage 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