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32C023">
      <w:pPr>
        <w:pStyle w:val="31"/>
        <w:jc w:val="center"/>
      </w:pPr>
      <w:r>
        <w:t>妙手通言作品说明文档</w:t>
      </w:r>
    </w:p>
    <w:p w14:paraId="6290DE47">
      <w:pPr>
        <w:pStyle w:val="26"/>
        <w:jc w:val="center"/>
      </w:pPr>
      <w:r>
        <w:t>基于 PYNQ Z2 的语音手语展示与视觉关键点系统</w:t>
      </w:r>
    </w:p>
    <w:p w14:paraId="2EEBEED9">
      <w:pPr>
        <w:spacing w:after="260"/>
        <w:jc w:val="center"/>
      </w:pPr>
      <w:r>
        <w:t xml:space="preserve"> 2026年10月28日</w:t>
      </w:r>
    </w:p>
    <w:p w14:paraId="29ECBF32">
      <w:pPr>
        <w:pStyle w:val="3"/>
      </w:pPr>
      <w:r>
        <w:t>1 作品概述</w:t>
      </w:r>
    </w:p>
    <w:p w14:paraId="0B8147F2">
      <w:pPr>
        <w:ind w:firstLine="420" w:firstLineChars="200"/>
      </w:pPr>
      <w:r>
        <w:rPr>
          <w:b w:val="0"/>
        </w:rPr>
        <w:t>妙手通言面向手语学习、交流辅助和嵌入式视觉教学，将语音字幕、手语视频展示与视觉关键点处理组织在同一套软硬件平台中。作品以 PYNQ-Z2 开发板为硬件载体，使用 Zynq-7020 的处理系统 PS 和可编程逻辑 PL，结合电脑端离线语音识别服务，完成音频输入、文本反馈、素材检索和 HDMI 展示，并开展手部关键点网络的板端部署与 FPGA 计算验证。</w:t>
      </w:r>
    </w:p>
    <w:p w14:paraId="3036F8A6">
      <w:pPr>
        <w:ind w:firstLine="420" w:firstLineChars="200"/>
      </w:pPr>
      <w:r>
        <w:rPr>
          <w:b w:val="0"/>
        </w:rPr>
        <w:t>作品当前已形成可运行的工程原型。语音方向已实现板端采音、电脑离线识别、字幕更新和对应手语片段播放；视觉方向已实现电脑端身体与双手关键点处理，以及板端原版手掌检测、手部关键点推理和跟踪。FPGA 方面，HDMI 与音频工程已完成重建和板端验收，历史单手关键点网络完成了整数计算核、整板实现和动态演示验证。</w:t>
      </w:r>
    </w:p>
    <w:p w14:paraId="6CBCBC86">
      <w:pPr>
        <w:ind w:firstLine="420" w:firstLineChars="200"/>
      </w:pPr>
      <w:r>
        <w:rPr>
          <w:b w:val="0"/>
        </w:rPr>
        <w:t>最新工作保留已部署教师模型的结构、权重、输入和全部输出，只研究将少量连续算子迁移到 PL。目前已完成软件瓶颈优化和迁移前的数值验证：同一视频下平均帧处理时间由约 1.57 秒降到约 1.01 秒，网络输出和跟踪行为保持一致。该提升来自 PS 后处理优化，新的教师网络 PL 局部加速尚未上板。</w:t>
      </w:r>
    </w:p>
    <w:p w14:paraId="364F7396">
      <w:pPr>
        <w:pStyle w:val="4"/>
      </w:pPr>
      <w:r>
        <w:t>1.1 主要成果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1"/>
        <w:gridCol w:w="6746"/>
      </w:tblGrid>
      <w:tr w14:paraId="3D787D0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891" w:type="dxa"/>
            <w:shd w:val="clear" w:color="auto" w:fill="24465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FCF7FE0">
            <w:pPr>
              <w:keepNext/>
              <w:widowControl/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成果方向</w:t>
            </w:r>
          </w:p>
        </w:tc>
        <w:tc>
          <w:tcPr>
            <w:tcW w:w="6746" w:type="dxa"/>
            <w:shd w:val="clear" w:color="auto" w:fill="24465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7BFCAB6">
            <w:pPr>
              <w:keepNext/>
              <w:widowControl/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已形成的可展示内容</w:t>
            </w:r>
          </w:p>
        </w:tc>
      </w:tr>
      <w:tr w14:paraId="6EFD538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98AB61D">
            <w:pPr>
              <w:keepNext w:val="0"/>
              <w:widowControl/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交互与展示</w:t>
            </w:r>
          </w:p>
        </w:tc>
        <w:tc>
          <w:tcPr>
            <w:tcW w:w="6746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7DE5574">
            <w:pPr>
              <w:keepNext w:val="0"/>
              <w:widowControl/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板端音频输入、动态字幕、匹配手语视频、720p HDMI 输出和 BTN0 启动链路</w:t>
            </w:r>
          </w:p>
        </w:tc>
      </w:tr>
      <w:tr w14:paraId="67961E4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shd w:val="clear" w:color="auto" w:fill="F1F5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2CB63CB">
            <w:pPr>
              <w:keepNext w:val="0"/>
              <w:widowControl/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视觉推理</w:t>
            </w:r>
          </w:p>
        </w:tc>
        <w:tc>
          <w:tcPr>
            <w:tcW w:w="6746" w:type="dxa"/>
            <w:shd w:val="clear" w:color="auto" w:fill="F1F5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6FA4BEE">
            <w:pPr>
              <w:keepNext w:val="0"/>
              <w:widowControl/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电脑端身体和双手关键点；板端 full palm 与 full landmark 自主检测和跟踪</w:t>
            </w:r>
          </w:p>
        </w:tc>
      </w:tr>
      <w:tr w14:paraId="640E0C9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B399D24">
            <w:pPr>
              <w:keepNext w:val="0"/>
              <w:widowControl/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FPGA 工程</w:t>
            </w:r>
          </w:p>
        </w:tc>
        <w:tc>
          <w:tcPr>
            <w:tcW w:w="6746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CE40367">
            <w:pPr>
              <w:keepNext w:val="0"/>
              <w:widowControl/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HDMI 与音频工程重建；历史关键点整数网络的 HLS、C/RTL、布线和上板验证</w:t>
            </w:r>
          </w:p>
        </w:tc>
      </w:tr>
      <w:tr w14:paraId="195B92A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shd w:val="clear" w:color="auto" w:fill="F1F5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9EA4551">
            <w:pPr>
              <w:keepNext w:val="0"/>
              <w:widowControl/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可复核优化</w:t>
            </w:r>
          </w:p>
        </w:tc>
        <w:tc>
          <w:tcPr>
            <w:tcW w:w="6746" w:type="dxa"/>
            <w:shd w:val="clear" w:color="auto" w:fill="F1F5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1F48B83">
            <w:pPr>
              <w:keepNext w:val="0"/>
              <w:widowControl/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两轮视频配对、100 个真实 ROI 的子图对齐、真实 CMA 缓冲复制与缓存同步测试</w:t>
            </w:r>
          </w:p>
        </w:tc>
      </w:tr>
    </w:tbl>
    <w:p w14:paraId="230C99CD">
      <w:pPr>
        <w:spacing w:after="0" w:line="60" w:lineRule="exact"/>
      </w:pPr>
    </w:p>
    <w:p w14:paraId="2D78FA1E">
      <w:pPr>
        <w:pStyle w:val="4"/>
      </w:pPr>
      <w:r>
        <w:t>1.2 作品定位</w:t>
      </w:r>
    </w:p>
    <w:p w14:paraId="1DE2494C">
      <w:pPr>
        <w:ind w:firstLine="420" w:firstLineChars="200"/>
      </w:pPr>
      <w:r>
        <w:rPr>
          <w:b w:val="0"/>
        </w:rPr>
        <w:t>现阶段的完成度体现为“可演示系统、可运行算法和可追溯工程验证”。语音转手语采用词句与已有视频素材匹配；视觉关键点输出用于描述手部与身体运动。两者共同构成后续手语理解与交互的基础，但当前不将作品表述为任意语句双向手语翻译器，也不将关键点检测等同于手语词义识别。</w:t>
      </w:r>
    </w:p>
    <w:p w14:paraId="39E1ABE0">
      <w:pPr>
        <w:pStyle w:val="3"/>
        <w:pageBreakBefore/>
      </w:pPr>
      <w:r>
        <w:t>2 系统架构与完成功能</w:t>
      </w:r>
    </w:p>
    <w:p w14:paraId="7774AE67">
      <w:pPr>
        <w:pStyle w:val="4"/>
      </w:pPr>
      <w:r>
        <w:t>2.1 软硬件分工</w:t>
      </w:r>
    </w:p>
    <w:p w14:paraId="1D85762F">
      <w:pPr>
        <w:ind w:firstLine="420" w:firstLineChars="200"/>
      </w:pPr>
      <w:r>
        <w:rPr>
          <w:b w:val="0"/>
        </w:rPr>
        <w:t>系统将音频、视觉和显示拆分为明确的数据路径。电脑承担现有离线 ASR 服务与开发构建，PS 负责板端任务调度和教师模型推理，PL 提供已实现的视频、音频硬件接口及历史关键点计算核。不同版本的实验独立记录，不假定所有功能已同时集成到同一最新固件。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6"/>
        <w:gridCol w:w="2602"/>
        <w:gridCol w:w="4530"/>
      </w:tblGrid>
      <w:tr w14:paraId="5F7F623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506" w:type="dxa"/>
            <w:shd w:val="clear" w:color="auto" w:fill="24465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2DA1B0F">
            <w:pPr>
              <w:keepNext/>
              <w:widowControl/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位置</w:t>
            </w:r>
          </w:p>
        </w:tc>
        <w:tc>
          <w:tcPr>
            <w:tcW w:w="2602" w:type="dxa"/>
            <w:shd w:val="clear" w:color="auto" w:fill="24465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3A3BF45">
            <w:pPr>
              <w:keepNext/>
              <w:widowControl/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主要职责</w:t>
            </w:r>
          </w:p>
        </w:tc>
        <w:tc>
          <w:tcPr>
            <w:tcW w:w="4530" w:type="dxa"/>
            <w:shd w:val="clear" w:color="auto" w:fill="24465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0AA4A06">
            <w:pPr>
              <w:keepNext/>
              <w:widowControl/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当前实现边界</w:t>
            </w:r>
          </w:p>
        </w:tc>
      </w:tr>
      <w:tr w14:paraId="71E727F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06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BBE1F97">
            <w:pPr>
              <w:keepNext w:val="0"/>
              <w:widowControl/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电脑端</w:t>
            </w:r>
          </w:p>
        </w:tc>
        <w:tc>
          <w:tcPr>
            <w:tcW w:w="2602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0F35BE4">
            <w:pPr>
              <w:keepNext w:val="0"/>
              <w:widowControl/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离线语音识别、素材匹配、开发构建、电脑视觉工具</w:t>
            </w:r>
          </w:p>
        </w:tc>
        <w:tc>
          <w:tcPr>
            <w:tcW w:w="453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0B7D4D4">
            <w:pPr>
              <w:keepNext w:val="0"/>
              <w:widowControl/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音频识别依赖电脑服务；无需云端 ASR</w:t>
            </w:r>
          </w:p>
        </w:tc>
      </w:tr>
      <w:tr w14:paraId="30ACABB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06" w:type="dxa"/>
            <w:shd w:val="clear" w:color="auto" w:fill="F1F5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F22C6BF">
            <w:pPr>
              <w:keepNext w:val="0"/>
              <w:widowControl/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板端 PS</w:t>
            </w:r>
          </w:p>
        </w:tc>
        <w:tc>
          <w:tcPr>
            <w:tcW w:w="2602" w:type="dxa"/>
            <w:shd w:val="clear" w:color="auto" w:fill="F1F5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B276B5F">
            <w:pPr>
              <w:keepNext w:val="0"/>
              <w:widowControl/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音频采集程序、原版手部网络、ROI、跟踪和显示调度</w:t>
            </w:r>
          </w:p>
        </w:tc>
        <w:tc>
          <w:tcPr>
            <w:tcW w:w="4530" w:type="dxa"/>
            <w:shd w:val="clear" w:color="auto" w:fill="F1F5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4633001">
            <w:pPr>
              <w:keepNext w:val="0"/>
              <w:widowControl/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full 手部管线可使用板内视频自主处理</w:t>
            </w:r>
          </w:p>
        </w:tc>
      </w:tr>
      <w:tr w14:paraId="40F872D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06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7269907">
            <w:pPr>
              <w:keepNext w:val="0"/>
              <w:widowControl/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板端 PL</w:t>
            </w:r>
          </w:p>
        </w:tc>
        <w:tc>
          <w:tcPr>
            <w:tcW w:w="2602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3247081">
            <w:pPr>
              <w:keepNext w:val="0"/>
              <w:widowControl/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HDMI 输出及音频相关硬件；历史整数关键点网络</w:t>
            </w:r>
          </w:p>
        </w:tc>
        <w:tc>
          <w:tcPr>
            <w:tcW w:w="453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464F555">
            <w:pPr>
              <w:keepNext w:val="0"/>
              <w:widowControl/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新 full 教师网络的局部计算核尚未部署</w:t>
            </w:r>
          </w:p>
        </w:tc>
      </w:tr>
    </w:tbl>
    <w:p w14:paraId="7B332E9E">
      <w:pPr>
        <w:spacing w:after="0" w:line="60" w:lineRule="exact"/>
      </w:pPr>
    </w:p>
    <w:p w14:paraId="420E5F17">
      <w:pPr>
        <w:pStyle w:val="4"/>
      </w:pPr>
      <w:r>
        <w:t>2.2 语音字幕与手语视频展示</w:t>
      </w:r>
    </w:p>
    <w:p w14:paraId="4D246EEA">
      <w:pPr>
        <w:ind w:firstLine="420" w:firstLineChars="200"/>
      </w:pPr>
      <w:r>
        <w:rPr>
          <w:b w:val="0"/>
        </w:rPr>
        <w:t>已实现的数据路径为：板端 LINE IN 左声道音频 → PS 采样与音频服务 → 电脑离线流式 ASR → 临时及最终字幕 → 手语素材匹配 → HDMI 画面展示。识别过程中可以看到字幕更新，语音端点确认后生成播放任务，同一句话重复输入也可形成新的任务。未匹配词句会提示素材缺失，不用其他动作替代。</w:t>
      </w:r>
    </w:p>
    <w:p w14:paraId="5CB9A506">
      <w:pPr>
        <w:ind w:firstLine="420" w:firstLineChars="200"/>
      </w:pPr>
      <w:r>
        <w:rPr>
          <w:b w:val="0"/>
        </w:rPr>
        <w:t>当前播放器支持完整短句或多个词片段的最长匹配、顺序播放和有界任务队列。画面分别标明最新识别文本与正在播放片段所属的文本，减少新语音覆盖旧视频造成的对应混淆。启动器包含连接检查、音频断流处理和服务恢复逻辑；“你好”“早上好”“谢谢”已获得字幕及对应视频正常的现场确认。</w:t>
      </w:r>
    </w:p>
    <w:p w14:paraId="5954CF06">
      <w:pPr>
        <w:ind w:firstLine="420" w:firstLineChars="200"/>
      </w:pPr>
      <w:r>
        <w:rPr>
          <w:b w:val="0"/>
        </w:rPr>
        <w:t>BTN0 启动链路已接通，服务就绪后按键可触发音频演示。当前重复按键为幂等开始，停止通过网页执行；不能将其写成已经完成按键启停切换或完整断电自启动验收。</w:t>
      </w:r>
    </w:p>
    <w:p w14:paraId="6EDCA79F">
      <w:pPr>
        <w:pStyle w:val="4"/>
      </w:pPr>
      <w:r>
        <w:t>2.3 视觉关键点处理</w:t>
      </w:r>
    </w:p>
    <w:p w14:paraId="70866E46">
      <w:pPr>
        <w:ind w:firstLine="420" w:firstLineChars="200"/>
      </w:pPr>
      <w:r>
        <w:rPr>
          <w:b w:val="0"/>
        </w:rPr>
        <w:t>电脑端采用 MediaPipe Holistic，输出单人身体 33 点及双手各 21 点，并提供视频文件、按时间节拍回放和 USB 输入接口。文件回放叠加链路已有运行记录；真实摄像头下的快速运动、交叉遮挡及定位精度仍需单独验收。</w:t>
      </w:r>
    </w:p>
    <w:p w14:paraId="0104819B">
      <w:pPr>
        <w:ind w:firstLine="420" w:firstLineChars="200"/>
      </w:pPr>
      <w:r>
        <w:rPr>
          <w:b w:val="0"/>
        </w:rPr>
        <w:t>板端 full 手部管线使用 palm_detection_full 与 hand_landmark_full。PS 根据图像完成找手、ROI 仿射裁剪、关键点推理、坐标投影和后续跟踪，不依赖电脑提供预先标好的 ROI。landmark 输入为 224×224 RGB，保留图像坐标、presence、handedness 和 world 坐标四个输出；这些数值不直接代表已识别的手语词义。</w:t>
      </w:r>
    </w:p>
    <w:p w14:paraId="29B12A73">
      <w:pPr>
        <w:pStyle w:val="3"/>
        <w:pageBreakBefore/>
      </w:pPr>
      <w:r>
        <w:t>3 FPGA 实现与部署成果</w:t>
      </w:r>
    </w:p>
    <w:p w14:paraId="134CAF5B">
      <w:pPr>
        <w:pStyle w:val="4"/>
      </w:pPr>
      <w:r>
        <w:t>3.1 显示与音频基础工程</w:t>
      </w:r>
    </w:p>
    <w:p w14:paraId="16E9C130">
      <w:pPr>
        <w:ind w:firstLine="420" w:firstLineChars="200"/>
        <w:rPr>
          <w:b w:val="0"/>
        </w:rPr>
      </w:pPr>
      <w:r>
        <w:rPr>
          <w:b w:val="0"/>
        </w:rPr>
        <w:t>目标器件为 Zynq-7020 xc7z020clg400-1，工程使用 Vivado/Vitis 2024.1。HDMI 与音频资产移入当前仓库后，已完成路径修复、工程重建、成对固件部署和冷启动验证。M0 记录显示，1280×720 画面已由用户目视确认，LINE IN 左声道存在有效音频信号；该版本布线 WNS 为 +1.244ns。</w:t>
      </w:r>
    </w:p>
    <w:p w14:paraId="6831973F">
      <w:pPr>
        <w:ind w:firstLine="420" w:firstLineChars="200"/>
      </w:pPr>
      <w:r>
        <w:rPr>
          <w:b w:val="0"/>
        </w:rPr>
        <w:t>工程保留发布清单及文件 SHA，bit 与 hwh 按同批次管理。新固件采用备份后冷启动加载，接管已运行硬件时不重复下载 bitstream。这套流程使软件结果、硬件版本与部署状态能够相互核对，也避免仅凭程序退出码判断显示功能正常。</w:t>
      </w:r>
    </w:p>
    <w:p w14:paraId="04650C7A">
      <w:pPr>
        <w:pStyle w:val="4"/>
      </w:pPr>
      <w:r>
        <w:t>3.2 历史单手关键点 PL 网络</w:t>
      </w:r>
    </w:p>
    <w:p w14:paraId="6EE417B3">
      <w:pPr>
        <w:ind w:firstLine="420" w:firstLineChars="200"/>
      </w:pPr>
      <w:r>
        <w:rPr>
          <w:b w:val="0"/>
        </w:rPr>
        <w:t>历史 lite 路线已完成单手 21 点网络在 PL 上执行，PS 调度，电脑提供规范化 ROI。计算保持 W12/A16、48bit 累加和固定舍入边界，采用 16 路乘累加生产者、FIFO 与写回消费者组织计算和访存。每 ROI 共 49 次整层调用与 13 次向量调用。</w:t>
      </w:r>
    </w:p>
    <w:p w14:paraId="2605050B">
      <w:pPr>
        <w:ind w:firstLine="420" w:firstLineChars="200"/>
      </w:pPr>
      <w:r>
        <w:rPr>
          <w:b w:val="0"/>
        </w:rPr>
        <w:t>该实现完成主机 C、C/RTL、整板布线及上板验证。它证明了关键点网络硬件化的工程能力；由于模型、计算精度和输入依赖与当前 full 教师路线不同，不能用于计算新教师局部迁移的加速比。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1"/>
        <w:gridCol w:w="6746"/>
      </w:tblGrid>
      <w:tr w14:paraId="0F21583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891" w:type="dxa"/>
            <w:shd w:val="clear" w:color="auto" w:fill="24465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ADEC590">
            <w:pPr>
              <w:keepNext/>
              <w:widowControl/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历史流式版整板项目</w:t>
            </w:r>
          </w:p>
        </w:tc>
        <w:tc>
          <w:tcPr>
            <w:tcW w:w="6746" w:type="dxa"/>
            <w:shd w:val="clear" w:color="auto" w:fill="24465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F7D8942">
            <w:pPr>
              <w:keepNext/>
              <w:widowControl/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实测值</w:t>
            </w:r>
          </w:p>
        </w:tc>
      </w:tr>
      <w:tr w14:paraId="52B7B20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6A0C01D">
            <w:pPr>
              <w:keepNext w:val="0"/>
              <w:widowControl/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LUT</w:t>
            </w:r>
          </w:p>
        </w:tc>
        <w:tc>
          <w:tcPr>
            <w:tcW w:w="6746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208CE83">
            <w:pPr>
              <w:keepNext w:val="0"/>
              <w:widowControl/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37,742 / 53,200</w:t>
            </w:r>
          </w:p>
        </w:tc>
      </w:tr>
      <w:tr w14:paraId="71349A8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shd w:val="clear" w:color="auto" w:fill="F1F5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240C95F">
            <w:pPr>
              <w:keepNext w:val="0"/>
              <w:widowControl/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FF</w:t>
            </w:r>
          </w:p>
        </w:tc>
        <w:tc>
          <w:tcPr>
            <w:tcW w:w="6746" w:type="dxa"/>
            <w:shd w:val="clear" w:color="auto" w:fill="F1F5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54854A9">
            <w:pPr>
              <w:keepNext w:val="0"/>
              <w:widowControl/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46,706 / 106,400</w:t>
            </w:r>
          </w:p>
        </w:tc>
      </w:tr>
      <w:tr w14:paraId="6BBA777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88078D4">
            <w:pPr>
              <w:keepNext w:val="0"/>
              <w:widowControl/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DSP</w:t>
            </w:r>
          </w:p>
        </w:tc>
        <w:tc>
          <w:tcPr>
            <w:tcW w:w="6746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7105EB5">
            <w:pPr>
              <w:keepNext w:val="0"/>
              <w:widowControl/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165 / 220</w:t>
            </w:r>
          </w:p>
        </w:tc>
      </w:tr>
      <w:tr w14:paraId="2A75651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shd w:val="clear" w:color="auto" w:fill="F1F5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B408C95">
            <w:pPr>
              <w:keepNext w:val="0"/>
              <w:widowControl/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BRAM Tile</w:t>
            </w:r>
          </w:p>
        </w:tc>
        <w:tc>
          <w:tcPr>
            <w:tcW w:w="6746" w:type="dxa"/>
            <w:shd w:val="clear" w:color="auto" w:fill="F1F5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FA0294E">
            <w:pPr>
              <w:keepNext w:val="0"/>
              <w:widowControl/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119.5 / 140</w:t>
            </w:r>
          </w:p>
        </w:tc>
      </w:tr>
      <w:tr w14:paraId="75FD4A6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9FB89F1">
            <w:pPr>
              <w:keepNext w:val="0"/>
              <w:widowControl/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Routed WNS / WHS</w:t>
            </w:r>
          </w:p>
        </w:tc>
        <w:tc>
          <w:tcPr>
            <w:tcW w:w="6746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D9066A6">
            <w:pPr>
              <w:keepNext w:val="0"/>
              <w:widowControl/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+0.307ns / +0.010ns</w:t>
            </w:r>
          </w:p>
        </w:tc>
      </w:tr>
      <w:tr w14:paraId="4DDBA0E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shd w:val="clear" w:color="auto" w:fill="F1F5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FA26A01">
            <w:pPr>
              <w:keepNext w:val="0"/>
              <w:widowControl/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TNS / THS</w:t>
            </w:r>
          </w:p>
        </w:tc>
        <w:tc>
          <w:tcPr>
            <w:tcW w:w="6746" w:type="dxa"/>
            <w:shd w:val="clear" w:color="auto" w:fill="F1F5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30FD890">
            <w:pPr>
              <w:keepNext w:val="0"/>
              <w:widowControl/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0 / 0</w:t>
            </w:r>
          </w:p>
        </w:tc>
      </w:tr>
    </w:tbl>
    <w:p w14:paraId="5A10D186">
      <w:pPr>
        <w:spacing w:after="0" w:line="60" w:lineRule="exact"/>
      </w:pPr>
    </w:p>
    <w:p w14:paraId="647FDC73">
      <w:pPr>
        <w:pStyle w:val="4"/>
      </w:pPr>
      <w:r>
        <w:t>3.3 原教师网络局部迁移准备</w:t>
      </w:r>
    </w:p>
    <w:p w14:paraId="7C8D8624">
      <w:pPr>
        <w:ind w:firstLine="420" w:firstLineChars="200"/>
      </w:pPr>
      <w:r>
        <w:rPr>
          <w:b w:val="0"/>
        </w:rPr>
        <w:t>当前路线冻结原模型，不训练新的轻量学生。已完成候选子图依赖核验、原 FP16 常量向 FP32 精确展开、100 个真实 ROI 的边界捕获与独立 CPU 重放。相邻两个残差块作为一个连续分区候选，其输入、输出各 87,808 字节，候选参数约 1.35MB。</w:t>
      </w:r>
    </w:p>
    <w:p w14:paraId="5A69C80E">
      <w:pPr>
        <w:ind w:firstLine="420" w:firstLineChars="200"/>
      </w:pPr>
      <w:r>
        <w:rPr>
          <w:b w:val="0"/>
        </w:rPr>
        <w:t>当前已测得真实 CMA 缓冲上的复制与缓存维护成本。下一步需要验证实际 delegate 接入后的剩余 CPU 开销，再决定浮点核和整板实现。这里的已完成成果是迁移边界与数值验证，不是新 PL 固件或端到端硬件提速验收。</w:t>
      </w:r>
    </w:p>
    <w:p w14:paraId="6F389FDA">
      <w:pPr>
        <w:pStyle w:val="3"/>
        <w:pageBreakBefore/>
      </w:pPr>
      <w:r>
        <w:t>4 数据集来源与使用方式</w:t>
      </w:r>
    </w:p>
    <w:p w14:paraId="7587595B">
      <w:pPr>
        <w:pStyle w:val="4"/>
      </w:pPr>
      <w:r>
        <w:t>4.1 素材组成与治理</w:t>
      </w:r>
    </w:p>
    <w:p w14:paraId="690F33F8">
      <w:pPr>
        <w:ind w:firstLine="420" w:firstLineChars="200"/>
      </w:pPr>
      <w:r>
        <w:rPr>
          <w:b w:val="0"/>
        </w:rPr>
        <w:t>视觉素材主要来自已登记的手语教学视频，包括 BV 系列素材和 NL 教程素材。项目保留原始标签、来源、片段边界、审核状态与 SHA256，通过活动清单指定当前可用范围。2026年10月26日清单修复记录中的数量如下；它们是素材与审计统计，不是已经验证的识别类别数。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2"/>
        <w:gridCol w:w="2217"/>
        <w:gridCol w:w="4819"/>
      </w:tblGrid>
      <w:tr w14:paraId="72AE3C6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02" w:type="dxa"/>
            <w:shd w:val="clear" w:color="auto" w:fill="24465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B3EADE0">
            <w:pPr>
              <w:keepNext/>
              <w:widowControl/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数据范围</w:t>
            </w:r>
          </w:p>
        </w:tc>
        <w:tc>
          <w:tcPr>
            <w:tcW w:w="2217" w:type="dxa"/>
            <w:shd w:val="clear" w:color="auto" w:fill="24465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5E7ED16">
            <w:pPr>
              <w:keepNext/>
              <w:widowControl/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数量</w:t>
            </w:r>
          </w:p>
        </w:tc>
        <w:tc>
          <w:tcPr>
            <w:tcW w:w="4819" w:type="dxa"/>
            <w:shd w:val="clear" w:color="auto" w:fill="24465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FCA9AF2">
            <w:pPr>
              <w:keepNext/>
              <w:widowControl/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本项目中的含义</w:t>
            </w:r>
          </w:p>
        </w:tc>
      </w:tr>
      <w:tr w14:paraId="4364CE4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2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CC2FFA7">
            <w:pPr>
              <w:keepNext w:val="0"/>
              <w:widowControl/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全画幅片段登记</w:t>
            </w:r>
          </w:p>
        </w:tc>
        <w:tc>
          <w:tcPr>
            <w:tcW w:w="2217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1BFEC68">
            <w:pPr>
              <w:keepNext w:val="0"/>
              <w:widowControl/>
              <w:spacing w:after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636 条</w:t>
            </w:r>
          </w:p>
        </w:tc>
        <w:tc>
          <w:tcPr>
            <w:tcW w:w="4819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9E30A96">
            <w:pPr>
              <w:keepNext w:val="0"/>
              <w:widowControl/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含 551 条活动素材及 85 条单列待审素材</w:t>
            </w:r>
          </w:p>
        </w:tc>
      </w:tr>
      <w:tr w14:paraId="10D1A55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2" w:type="dxa"/>
            <w:shd w:val="clear" w:color="auto" w:fill="F1F5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4120625">
            <w:pPr>
              <w:keepNext w:val="0"/>
              <w:widowControl/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当前活动素材池</w:t>
            </w:r>
          </w:p>
        </w:tc>
        <w:tc>
          <w:tcPr>
            <w:tcW w:w="2217" w:type="dxa"/>
            <w:shd w:val="clear" w:color="auto" w:fill="F1F5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7902048">
            <w:pPr>
              <w:keepNext w:val="0"/>
              <w:widowControl/>
              <w:spacing w:after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551 条</w:t>
            </w:r>
          </w:p>
        </w:tc>
        <w:tc>
          <w:tcPr>
            <w:tcW w:w="4819" w:type="dxa"/>
            <w:shd w:val="clear" w:color="auto" w:fill="F1F5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97AED66">
            <w:pPr>
              <w:keepNext w:val="0"/>
              <w:widowControl/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由冻结清单绑定；当前迁移不使用其重新训练</w:t>
            </w:r>
          </w:p>
        </w:tc>
      </w:tr>
      <w:tr w14:paraId="1363A06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2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FEFCE66">
            <w:pPr>
              <w:keepNext w:val="0"/>
              <w:widowControl/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待审片段</w:t>
            </w:r>
          </w:p>
        </w:tc>
        <w:tc>
          <w:tcPr>
            <w:tcW w:w="2217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6BE0601">
            <w:pPr>
              <w:keepNext w:val="0"/>
              <w:widowControl/>
              <w:spacing w:after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85 条</w:t>
            </w:r>
          </w:p>
        </w:tc>
        <w:tc>
          <w:tcPr>
            <w:tcW w:w="4819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65F0EC9">
            <w:pPr>
              <w:keepNext w:val="0"/>
              <w:widowControl/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在场并匹配原审计 SHA，尚未并入活动池</w:t>
            </w:r>
          </w:p>
        </w:tc>
      </w:tr>
      <w:tr w14:paraId="66C382A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2" w:type="dxa"/>
            <w:shd w:val="clear" w:color="auto" w:fill="F1F5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43C67BE">
            <w:pPr>
              <w:keepNext w:val="0"/>
              <w:widowControl/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原始标签</w:t>
            </w:r>
          </w:p>
        </w:tc>
        <w:tc>
          <w:tcPr>
            <w:tcW w:w="2217" w:type="dxa"/>
            <w:shd w:val="clear" w:color="auto" w:fill="F1F5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BEA20FC">
            <w:pPr>
              <w:keepNext w:val="0"/>
              <w:widowControl/>
              <w:spacing w:after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440 个</w:t>
            </w:r>
          </w:p>
        </w:tc>
        <w:tc>
          <w:tcPr>
            <w:tcW w:w="4819" w:type="dxa"/>
            <w:shd w:val="clear" w:color="auto" w:fill="F1F5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6836181">
            <w:pPr>
              <w:keepNext w:val="0"/>
              <w:widowControl/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尚未统一语义，不能称为已支持 440 类</w:t>
            </w:r>
          </w:p>
        </w:tc>
      </w:tr>
      <w:tr w14:paraId="7618BA9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2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74CECF4">
            <w:pPr>
              <w:keepNext w:val="0"/>
              <w:widowControl/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不同文件内容</w:t>
            </w:r>
          </w:p>
        </w:tc>
        <w:tc>
          <w:tcPr>
            <w:tcW w:w="2217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DC93A57">
            <w:pPr>
              <w:keepNext w:val="0"/>
              <w:widowControl/>
              <w:spacing w:after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635 份</w:t>
            </w:r>
          </w:p>
        </w:tc>
        <w:tc>
          <w:tcPr>
            <w:tcW w:w="4819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8CEBAA2">
            <w:pPr>
              <w:keepNext w:val="0"/>
              <w:widowControl/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636 条登记中存在字节级重复</w:t>
            </w:r>
          </w:p>
        </w:tc>
      </w:tr>
      <w:tr w14:paraId="01EDAE1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2" w:type="dxa"/>
            <w:shd w:val="clear" w:color="auto" w:fill="F1F5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7EF0944">
            <w:pPr>
              <w:keepNext w:val="0"/>
              <w:widowControl/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ASR 手语视频词库</w:t>
            </w:r>
          </w:p>
        </w:tc>
        <w:tc>
          <w:tcPr>
            <w:tcW w:w="2217" w:type="dxa"/>
            <w:shd w:val="clear" w:color="auto" w:fill="F1F5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211115A">
            <w:pPr>
              <w:keepNext w:val="0"/>
              <w:widowControl/>
              <w:spacing w:after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142 条</w:t>
            </w:r>
          </w:p>
        </w:tc>
        <w:tc>
          <w:tcPr>
            <w:tcW w:w="4819" w:type="dxa"/>
            <w:shd w:val="clear" w:color="auto" w:fill="F1F5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48EC44B">
            <w:pPr>
              <w:keepNext w:val="0"/>
              <w:widowControl/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用于词句匹配播放，数量不等于逐条验收通过</w:t>
            </w:r>
          </w:p>
        </w:tc>
      </w:tr>
      <w:tr w14:paraId="0F71A65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2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D0A5487">
            <w:pPr>
              <w:keepNext w:val="0"/>
              <w:widowControl/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当前在场媒体总量</w:t>
            </w:r>
          </w:p>
        </w:tc>
        <w:tc>
          <w:tcPr>
            <w:tcW w:w="2217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7B23DF7">
            <w:pPr>
              <w:keepNext w:val="0"/>
              <w:widowControl/>
              <w:spacing w:after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780 个</w:t>
            </w:r>
          </w:p>
        </w:tc>
        <w:tc>
          <w:tcPr>
            <w:tcW w:w="4819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D1E5C28">
            <w:pPr>
              <w:keepNext w:val="0"/>
              <w:widowControl/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636 片段、142 词库、1 测试样例、1 原片</w:t>
            </w:r>
          </w:p>
        </w:tc>
      </w:tr>
      <w:tr w14:paraId="2D77DA1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2" w:type="dxa"/>
            <w:shd w:val="clear" w:color="auto" w:fill="F1F5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1E367C3">
            <w:pPr>
              <w:keepNext w:val="0"/>
              <w:widowControl/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历史记录中的缺失媒体</w:t>
            </w:r>
          </w:p>
        </w:tc>
        <w:tc>
          <w:tcPr>
            <w:tcW w:w="2217" w:type="dxa"/>
            <w:shd w:val="clear" w:color="auto" w:fill="F1F5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8F4AA10">
            <w:pPr>
              <w:keepNext w:val="0"/>
              <w:widowControl/>
              <w:spacing w:after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36 个</w:t>
            </w:r>
          </w:p>
        </w:tc>
        <w:tc>
          <w:tcPr>
            <w:tcW w:w="4819" w:type="dxa"/>
            <w:shd w:val="clear" w:color="auto" w:fill="F1F5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AD3E5BD">
            <w:pPr>
              <w:keepNext w:val="0"/>
              <w:widowControl/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31 原片与 5 旧演示，保留缺失状态便于追溯</w:t>
            </w:r>
          </w:p>
        </w:tc>
      </w:tr>
    </w:tbl>
    <w:p w14:paraId="26F36869">
      <w:pPr>
        <w:spacing w:after="0" w:line="60" w:lineRule="exact"/>
      </w:pPr>
    </w:p>
    <w:p w14:paraId="495B3B67">
      <w:pPr>
        <w:ind w:firstLine="420" w:firstLineChars="200"/>
      </w:pPr>
      <w:r>
        <w:rPr>
          <w:b w:val="0"/>
        </w:rPr>
        <w:t>来源审计包含 233 条 352×288 素材及 403 条 1920×1080 素材，共 28 个视频或课级来源组。来源组不是人物 ID；当前没有经核实的独立人物划分，不能据此报告跨人物识别准确率。</w:t>
      </w:r>
    </w:p>
    <w:p w14:paraId="1A515ECF">
      <w:pPr>
        <w:pStyle w:val="4"/>
      </w:pPr>
      <w:r>
        <w:t>4.2 不同任务如何使用数据</w:t>
      </w:r>
    </w:p>
    <w:p w14:paraId="61F33D2F">
      <w:pPr>
        <w:ind w:firstLine="420" w:firstLineChars="200"/>
      </w:pPr>
      <w:r>
        <w:rPr>
          <w:b w:val="0"/>
        </w:rPr>
        <w:t>语音展示使用已有文本与视频对应表，检索后播放手语片段。ASR 采用第三方预训练中文流式模型，不用上述手语视频训练语音模型。关键点网络同样复用预训练模型；当前迁移任务不新增人工标注、不进行学生训练或 QAT。</w:t>
      </w:r>
    </w:p>
    <w:p w14:paraId="2BAE84F6">
      <w:pPr>
        <w:ind w:firstLine="420" w:firstLineChars="200"/>
      </w:pPr>
      <w:r>
        <w:rPr>
          <w:b w:val="0"/>
        </w:rPr>
        <w:t>历史 M1 词义分类使用 8 类 28 条已审定片段，提取 392 维 sign_xy_v1 特征并进行 DTW 模板评估。它是独立历史实验，不能把素材库全部条目计算为该实验的训练集或识别能力。</w:t>
      </w:r>
    </w:p>
    <w:p w14:paraId="342D87FC">
      <w:pPr>
        <w:ind w:firstLine="420" w:firstLineChars="200"/>
      </w:pPr>
      <w:r>
        <w:rPr>
          <w:b w:val="0"/>
        </w:rPr>
        <w:t>最新教师迁移验证从固定视频保存 100 个真实 landmark ROI 及原模型全部输出，并使用 12 份 palm 输出检查后处理。它们是等价性重放样本，参考答案来自冻结教师，不是人工标注训练集，也不能用逐值一致率替代人体关键点定位准确率。</w:t>
      </w:r>
    </w:p>
    <w:p w14:paraId="7E409BCC">
      <w:pPr>
        <w:pStyle w:val="4"/>
      </w:pPr>
      <w:r>
        <w:t>4.3 数据使用原则</w:t>
      </w:r>
    </w:p>
    <w:p w14:paraId="301CD356">
      <w:pPr>
        <w:ind w:firstLine="420" w:firstLineChars="200"/>
      </w:pPr>
      <w:r>
        <w:rPr>
          <w:b w:val="0"/>
        </w:rPr>
        <w:t>同来源、同动作候选和时间重叠片段应整体分组，避免把高度相关素材拆到训练与测试两侧。媒体原件与清单分开管理，视频不随代码仓库提交；文件移动先核对 SHA，再更新引用。旧标签、旧划分与失败记录保留，新的实验只绑定明确版本的数据清单。</w:t>
      </w:r>
    </w:p>
    <w:p w14:paraId="0C76E78F">
      <w:pPr>
        <w:pStyle w:val="3"/>
        <w:pageBreakBefore/>
      </w:pPr>
      <w:r>
        <w:t>5 性能指标与测试结果</w:t>
      </w:r>
    </w:p>
    <w:p w14:paraId="263094FC">
      <w:pPr>
        <w:pStyle w:val="4"/>
      </w:pPr>
      <w:r>
        <w:t>5.1 原教师管线的软件优化</w:t>
      </w:r>
    </w:p>
    <w:p w14:paraId="4273AD98">
      <w:pPr>
        <w:ind w:firstLine="420" w:firstLineChars="200"/>
      </w:pPr>
      <w:r>
        <w:rPr>
          <w:b w:val="0"/>
        </w:rPr>
        <w:t>P1 测试使用相同 1080p 视频、原 full palm/full landmark、原 TFLite 运行库和 2 线程。预热后进行两轮交错顺序配对，每轮原版与优化版各 120 帧。计时覆盖视频解码、颜色转换、管线处理和绘制，不含 HDMI 写屏，也不含计时外的摘要计算与落盘。</w:t>
      </w:r>
      <w:bookmarkStart w:id="0" w:name="_GoBack"/>
      <w:bookmarkEnd w:id="0"/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3"/>
        <w:gridCol w:w="1831"/>
        <w:gridCol w:w="1831"/>
        <w:gridCol w:w="1831"/>
        <w:gridCol w:w="1831"/>
      </w:tblGrid>
      <w:tr w14:paraId="52BAB4E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13" w:type="dxa"/>
            <w:shd w:val="clear" w:color="auto" w:fill="24465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715BBB6">
            <w:pPr>
              <w:keepNext/>
              <w:widowControl/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指标</w:t>
            </w:r>
          </w:p>
        </w:tc>
        <w:tc>
          <w:tcPr>
            <w:tcW w:w="1831" w:type="dxa"/>
            <w:shd w:val="clear" w:color="auto" w:fill="24465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BD98D9B">
            <w:pPr>
              <w:keepNext/>
              <w:widowControl/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第 1 轮原版</w:t>
            </w:r>
          </w:p>
        </w:tc>
        <w:tc>
          <w:tcPr>
            <w:tcW w:w="1831" w:type="dxa"/>
            <w:shd w:val="clear" w:color="auto" w:fill="24465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6D077CD">
            <w:pPr>
              <w:keepNext/>
              <w:widowControl/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第 1 轮优化</w:t>
            </w:r>
          </w:p>
        </w:tc>
        <w:tc>
          <w:tcPr>
            <w:tcW w:w="1831" w:type="dxa"/>
            <w:shd w:val="clear" w:color="auto" w:fill="24465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70DD474">
            <w:pPr>
              <w:keepNext/>
              <w:widowControl/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第 2 轮原版</w:t>
            </w:r>
          </w:p>
        </w:tc>
        <w:tc>
          <w:tcPr>
            <w:tcW w:w="1831" w:type="dxa"/>
            <w:shd w:val="clear" w:color="auto" w:fill="24465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265334C">
            <w:pPr>
              <w:keepNext/>
              <w:widowControl/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第 2 轮优化</w:t>
            </w:r>
          </w:p>
        </w:tc>
      </w:tr>
      <w:tr w14:paraId="73F4394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13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25EBA07">
            <w:pPr>
              <w:keepNext w:val="0"/>
              <w:widowControl/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平均帧处理 ms</w:t>
            </w:r>
          </w:p>
        </w:tc>
        <w:tc>
          <w:tcPr>
            <w:tcW w:w="1831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AC5D05C">
            <w:pPr>
              <w:keepNext w:val="0"/>
              <w:widowControl/>
              <w:spacing w:after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1580.59</w:t>
            </w:r>
          </w:p>
        </w:tc>
        <w:tc>
          <w:tcPr>
            <w:tcW w:w="1831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AC0F35A">
            <w:pPr>
              <w:keepNext w:val="0"/>
              <w:widowControl/>
              <w:spacing w:after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1013.17</w:t>
            </w:r>
          </w:p>
        </w:tc>
        <w:tc>
          <w:tcPr>
            <w:tcW w:w="1831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351495E">
            <w:pPr>
              <w:keepNext w:val="0"/>
              <w:widowControl/>
              <w:spacing w:after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1560.56</w:t>
            </w:r>
          </w:p>
        </w:tc>
        <w:tc>
          <w:tcPr>
            <w:tcW w:w="1831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3E536B9">
            <w:pPr>
              <w:keepNext w:val="0"/>
              <w:widowControl/>
              <w:spacing w:after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1009.36</w:t>
            </w:r>
          </w:p>
        </w:tc>
      </w:tr>
      <w:tr w14:paraId="3FFB6CD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13" w:type="dxa"/>
            <w:shd w:val="clear" w:color="auto" w:fill="F1F5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53C8CC8">
            <w:pPr>
              <w:keepNext w:val="0"/>
              <w:widowControl/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P50 ms</w:t>
            </w:r>
          </w:p>
        </w:tc>
        <w:tc>
          <w:tcPr>
            <w:tcW w:w="1831" w:type="dxa"/>
            <w:shd w:val="clear" w:color="auto" w:fill="F1F5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E348257">
            <w:pPr>
              <w:keepNext w:val="0"/>
              <w:widowControl/>
              <w:spacing w:after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1452.94</w:t>
            </w:r>
          </w:p>
        </w:tc>
        <w:tc>
          <w:tcPr>
            <w:tcW w:w="1831" w:type="dxa"/>
            <w:shd w:val="clear" w:color="auto" w:fill="F1F5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FFC76C1">
            <w:pPr>
              <w:keepNext w:val="0"/>
              <w:widowControl/>
              <w:spacing w:after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1168.45</w:t>
            </w:r>
          </w:p>
        </w:tc>
        <w:tc>
          <w:tcPr>
            <w:tcW w:w="1831" w:type="dxa"/>
            <w:shd w:val="clear" w:color="auto" w:fill="F1F5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3060EDB">
            <w:pPr>
              <w:keepNext w:val="0"/>
              <w:widowControl/>
              <w:spacing w:after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1446.99</w:t>
            </w:r>
          </w:p>
        </w:tc>
        <w:tc>
          <w:tcPr>
            <w:tcW w:w="1831" w:type="dxa"/>
            <w:shd w:val="clear" w:color="auto" w:fill="F1F5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868E7EF">
            <w:pPr>
              <w:keepNext w:val="0"/>
              <w:widowControl/>
              <w:spacing w:after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1176.20</w:t>
            </w:r>
          </w:p>
        </w:tc>
      </w:tr>
      <w:tr w14:paraId="142B5F5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13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409E903">
            <w:pPr>
              <w:keepNext w:val="0"/>
              <w:widowControl/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P95 ms</w:t>
            </w:r>
          </w:p>
        </w:tc>
        <w:tc>
          <w:tcPr>
            <w:tcW w:w="1831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8BFA100">
            <w:pPr>
              <w:keepNext w:val="0"/>
              <w:widowControl/>
              <w:spacing w:after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2475.92</w:t>
            </w:r>
          </w:p>
        </w:tc>
        <w:tc>
          <w:tcPr>
            <w:tcW w:w="1831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E1D4BD0">
            <w:pPr>
              <w:keepNext w:val="0"/>
              <w:widowControl/>
              <w:spacing w:after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1382.27</w:t>
            </w:r>
          </w:p>
        </w:tc>
        <w:tc>
          <w:tcPr>
            <w:tcW w:w="1831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4398DFF">
            <w:pPr>
              <w:keepNext w:val="0"/>
              <w:widowControl/>
              <w:spacing w:after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2178.04</w:t>
            </w:r>
          </w:p>
        </w:tc>
        <w:tc>
          <w:tcPr>
            <w:tcW w:w="1831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3D010C0">
            <w:pPr>
              <w:keepNext w:val="0"/>
              <w:widowControl/>
              <w:spacing w:after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1397.19</w:t>
            </w:r>
          </w:p>
        </w:tc>
      </w:tr>
      <w:tr w14:paraId="552D0F8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13" w:type="dxa"/>
            <w:shd w:val="clear" w:color="auto" w:fill="F1F5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EA3FA66">
            <w:pPr>
              <w:keepNext w:val="0"/>
              <w:widowControl/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平均加速比</w:t>
            </w:r>
          </w:p>
        </w:tc>
        <w:tc>
          <w:tcPr>
            <w:tcW w:w="1831" w:type="dxa"/>
            <w:shd w:val="clear" w:color="auto" w:fill="F1F5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5AB8FD6">
            <w:pPr>
              <w:keepNext w:val="0"/>
              <w:widowControl/>
              <w:spacing w:after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—</w:t>
            </w:r>
          </w:p>
        </w:tc>
        <w:tc>
          <w:tcPr>
            <w:tcW w:w="1831" w:type="dxa"/>
            <w:shd w:val="clear" w:color="auto" w:fill="F1F5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D098984">
            <w:pPr>
              <w:keepNext w:val="0"/>
              <w:widowControl/>
              <w:spacing w:after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1.560 倍</w:t>
            </w:r>
          </w:p>
        </w:tc>
        <w:tc>
          <w:tcPr>
            <w:tcW w:w="1831" w:type="dxa"/>
            <w:shd w:val="clear" w:color="auto" w:fill="F1F5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441EC50">
            <w:pPr>
              <w:keepNext w:val="0"/>
              <w:widowControl/>
              <w:spacing w:after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—</w:t>
            </w:r>
          </w:p>
        </w:tc>
        <w:tc>
          <w:tcPr>
            <w:tcW w:w="1831" w:type="dxa"/>
            <w:shd w:val="clear" w:color="auto" w:fill="F1F5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93C4E85">
            <w:pPr>
              <w:keepNext w:val="0"/>
              <w:widowControl/>
              <w:spacing w:after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1.546 倍</w:t>
            </w:r>
          </w:p>
        </w:tc>
      </w:tr>
    </w:tbl>
    <w:p w14:paraId="46E7C58F">
      <w:pPr>
        <w:spacing w:after="0" w:line="60" w:lineRule="exact"/>
      </w:pPr>
    </w:p>
    <w:p w14:paraId="7A390A02">
      <w:pPr>
        <w:ind w:firstLine="420" w:firstLineChars="200"/>
      </w:pPr>
      <w:r>
        <w:rPr>
          <w:b w:val="0"/>
        </w:rPr>
        <w:t>两轮改善方向一致，平均帧处理耗时降低约 35%～36%。优化只对明显低于接受阈值的 palm 候选进行保守预筛，其余分数计算、坐标、排序与 NMS 保持原实现。12 份缓存 palm 输出的同场后处理均值从 709.63ms 降到 0.96ms。</w:t>
      </w:r>
    </w:p>
    <w:p w14:paraId="1E44AF53">
      <w:pPr>
        <w:ind w:firstLine="420" w:firstLineChars="200"/>
      </w:pPr>
      <w:r>
        <w:rPr>
          <w:b w:val="0"/>
        </w:rPr>
        <w:t>每次回放均执行 90 次 palm 和 100 次 landmark，0/1/2 手帧数分别为 58/31/31。两轮共 240 对帧的网络输入、全部输出、ROI 和后续跟踪状态摘要完全一致。因此该结果体现同等行为下的软件效率提升，不来自降低检测频率、缩小输入或少处理一只手。</w:t>
      </w:r>
    </w:p>
    <w:p w14:paraId="7017CFF9">
      <w:pPr>
        <w:pStyle w:val="4"/>
      </w:pPr>
      <w:r>
        <w:t>5.2 数值与内存验证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2"/>
        <w:gridCol w:w="2217"/>
        <w:gridCol w:w="4819"/>
      </w:tblGrid>
      <w:tr w14:paraId="21FBECE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02" w:type="dxa"/>
            <w:shd w:val="clear" w:color="auto" w:fill="24465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9CDF1F3">
            <w:pPr>
              <w:keepNext/>
              <w:widowControl/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验证项目</w:t>
            </w:r>
          </w:p>
        </w:tc>
        <w:tc>
          <w:tcPr>
            <w:tcW w:w="2217" w:type="dxa"/>
            <w:shd w:val="clear" w:color="auto" w:fill="24465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2A27CA1">
            <w:pPr>
              <w:keepNext/>
              <w:widowControl/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实测结果</w:t>
            </w:r>
          </w:p>
        </w:tc>
        <w:tc>
          <w:tcPr>
            <w:tcW w:w="4819" w:type="dxa"/>
            <w:shd w:val="clear" w:color="auto" w:fill="24465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FD56F8F">
            <w:pPr>
              <w:keepNext/>
              <w:widowControl/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解释</w:t>
            </w:r>
          </w:p>
        </w:tc>
      </w:tr>
      <w:tr w14:paraId="04A409A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2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CB7909B">
            <w:pPr>
              <w:keepNext w:val="0"/>
              <w:widowControl/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后处理边界测试</w:t>
            </w:r>
          </w:p>
        </w:tc>
        <w:tc>
          <w:tcPr>
            <w:tcW w:w="2217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C961C99">
            <w:pPr>
              <w:keepNext w:val="0"/>
              <w:widowControl/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本地与板端各 5 项通过</w:t>
            </w:r>
          </w:p>
        </w:tc>
        <w:tc>
          <w:tcPr>
            <w:tcW w:w="4819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1395317">
            <w:pPr>
              <w:keepNext w:val="0"/>
              <w:widowControl/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覆盖阈值邻域、NMS、非有限值及不同阈值</w:t>
            </w:r>
          </w:p>
        </w:tc>
      </w:tr>
      <w:tr w14:paraId="39CABA6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2" w:type="dxa"/>
            <w:shd w:val="clear" w:color="auto" w:fill="F1F5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2380DD0">
            <w:pPr>
              <w:keepNext w:val="0"/>
              <w:widowControl/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原教师边界捕获</w:t>
            </w:r>
          </w:p>
        </w:tc>
        <w:tc>
          <w:tcPr>
            <w:tcW w:w="2217" w:type="dxa"/>
            <w:shd w:val="clear" w:color="auto" w:fill="F1F5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DDCCE25">
            <w:pPr>
              <w:keepNext w:val="0"/>
              <w:widowControl/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100 ROI 四输出逐值一致</w:t>
            </w:r>
          </w:p>
        </w:tc>
        <w:tc>
          <w:tcPr>
            <w:tcW w:w="4819" w:type="dxa"/>
            <w:shd w:val="clear" w:color="auto" w:fill="F1F5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6CC1CDA">
            <w:pPr>
              <w:keepNext w:val="0"/>
              <w:widowControl/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增加可读边界未改变这些样本的原输出</w:t>
            </w:r>
          </w:p>
        </w:tc>
      </w:tr>
      <w:tr w14:paraId="2834D44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2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1AF5AA2">
            <w:pPr>
              <w:keepNext w:val="0"/>
              <w:widowControl/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单块与双块重放</w:t>
            </w:r>
          </w:p>
        </w:tc>
        <w:tc>
          <w:tcPr>
            <w:tcW w:w="2217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384DB99">
            <w:pPr>
              <w:keepNext w:val="0"/>
              <w:widowControl/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各 100 ROI 逐值一致</w:t>
            </w:r>
          </w:p>
        </w:tc>
        <w:tc>
          <w:tcPr>
            <w:tcW w:w="4819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2B1DC19">
            <w:pPr>
              <w:keepNext w:val="0"/>
              <w:widowControl/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验证原算子及原权重可独立复现</w:t>
            </w:r>
          </w:p>
        </w:tc>
      </w:tr>
      <w:tr w14:paraId="0671DCD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2" w:type="dxa"/>
            <w:shd w:val="clear" w:color="auto" w:fill="F1F5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07CA240">
            <w:pPr>
              <w:keepNext w:val="0"/>
              <w:widowControl/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CMA 复制与缓存维护</w:t>
            </w:r>
          </w:p>
        </w:tc>
        <w:tc>
          <w:tcPr>
            <w:tcW w:w="2217" w:type="dxa"/>
            <w:shd w:val="clear" w:color="auto" w:fill="F1F5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734130A">
            <w:pPr>
              <w:keepNext w:val="0"/>
              <w:widowControl/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100 次通过；平均 1.386ms</w:t>
            </w:r>
          </w:p>
        </w:tc>
        <w:tc>
          <w:tcPr>
            <w:tcW w:w="4819" w:type="dxa"/>
            <w:shd w:val="clear" w:color="auto" w:fill="F1F5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0C0AD95">
            <w:pPr>
              <w:keepNext w:val="0"/>
              <w:widowControl/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不含 PL 计算、AXI 访问及实际接图损耗</w:t>
            </w:r>
          </w:p>
        </w:tc>
      </w:tr>
    </w:tbl>
    <w:p w14:paraId="600517CD">
      <w:pPr>
        <w:spacing w:after="0" w:line="60" w:lineRule="exact"/>
      </w:pPr>
    </w:p>
    <w:p w14:paraId="4F91B5A2">
      <w:pPr>
        <w:pStyle w:val="4"/>
      </w:pPr>
      <w:r>
        <w:t>5.3 指标含义</w:t>
      </w:r>
    </w:p>
    <w:p w14:paraId="793FFD37">
      <w:pPr>
        <w:ind w:firstLine="420" w:firstLineChars="200"/>
      </w:pPr>
      <w:r>
        <w:rPr>
          <w:b w:val="0"/>
        </w:rPr>
        <w:t>P50 表示中位数，P95 表示约 95% 样本不超过的时延。当前约 1.01 秒/帧对应这段混合手数回放的平均处理节奏，不是每只手网络时延或摄像头实时帧率。新 PL 加速尚无实测成绩；当前双块候选按平均耗时占比估计，即使计算免费，整体平均提速也仅约 1.09 倍，实际收益还需扣除其他开销。</w:t>
      </w:r>
    </w:p>
    <w:p w14:paraId="20ED45A2">
      <w:pPr>
        <w:pStyle w:val="3"/>
        <w:pageBreakBefore/>
      </w:pPr>
      <w:r>
        <w:t>6 作品完成度与演示范围</w:t>
      </w:r>
    </w:p>
    <w:p w14:paraId="1C7EE466">
      <w:pPr>
        <w:pStyle w:val="4"/>
      </w:pPr>
      <w:r>
        <w:t>6.1 分模块完成情况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6"/>
        <w:gridCol w:w="2602"/>
        <w:gridCol w:w="4530"/>
      </w:tblGrid>
      <w:tr w14:paraId="7610350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506" w:type="dxa"/>
            <w:shd w:val="clear" w:color="auto" w:fill="24465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D8AF5F0">
            <w:pPr>
              <w:keepNext/>
              <w:widowControl/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模块</w:t>
            </w:r>
          </w:p>
        </w:tc>
        <w:tc>
          <w:tcPr>
            <w:tcW w:w="2602" w:type="dxa"/>
            <w:shd w:val="clear" w:color="auto" w:fill="24465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5540C40">
            <w:pPr>
              <w:keepNext/>
              <w:widowControl/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当前状态</w:t>
            </w:r>
          </w:p>
        </w:tc>
        <w:tc>
          <w:tcPr>
            <w:tcW w:w="4530" w:type="dxa"/>
            <w:shd w:val="clear" w:color="auto" w:fill="24465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185A3DA">
            <w:pPr>
              <w:keepNext/>
              <w:widowControl/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可以展示或复核的成果</w:t>
            </w:r>
          </w:p>
        </w:tc>
      </w:tr>
      <w:tr w14:paraId="23502C4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06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09C3E5C">
            <w:pPr>
              <w:keepNext w:val="0"/>
              <w:widowControl/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HDMI 与音频工程</w:t>
            </w:r>
          </w:p>
        </w:tc>
        <w:tc>
          <w:tcPr>
            <w:tcW w:w="2602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327094C">
            <w:pPr>
              <w:keepNext w:val="0"/>
              <w:widowControl/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已完成 M0 板端验收</w:t>
            </w:r>
          </w:p>
        </w:tc>
        <w:tc>
          <w:tcPr>
            <w:tcW w:w="453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93B6860">
            <w:pPr>
              <w:keepNext w:val="0"/>
              <w:widowControl/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干净重建、成对固件、720p 画面与有效采音</w:t>
            </w:r>
          </w:p>
        </w:tc>
      </w:tr>
      <w:tr w14:paraId="05601F2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06" w:type="dxa"/>
            <w:shd w:val="clear" w:color="auto" w:fill="F1F5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C237328">
            <w:pPr>
              <w:keepNext w:val="0"/>
              <w:widowControl/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语音字幕与手语片段</w:t>
            </w:r>
          </w:p>
        </w:tc>
        <w:tc>
          <w:tcPr>
            <w:tcW w:w="2602" w:type="dxa"/>
            <w:shd w:val="clear" w:color="auto" w:fill="F1F5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CD7B3D2">
            <w:pPr>
              <w:keepNext w:val="0"/>
              <w:widowControl/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已有现场闭环确认</w:t>
            </w:r>
          </w:p>
        </w:tc>
        <w:tc>
          <w:tcPr>
            <w:tcW w:w="4530" w:type="dxa"/>
            <w:shd w:val="clear" w:color="auto" w:fill="F1F5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160EC7F">
            <w:pPr>
              <w:keepNext w:val="0"/>
              <w:widowControl/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三条常用表达的字幕及对应视频正常</w:t>
            </w:r>
          </w:p>
        </w:tc>
      </w:tr>
      <w:tr w14:paraId="18AE39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06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26C0A26">
            <w:pPr>
              <w:keepNext w:val="0"/>
              <w:widowControl/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BTN0 启动</w:t>
            </w:r>
          </w:p>
        </w:tc>
        <w:tc>
          <w:tcPr>
            <w:tcW w:w="2602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8DA07C4">
            <w:pPr>
              <w:keepNext w:val="0"/>
              <w:widowControl/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链路已接通</w:t>
            </w:r>
          </w:p>
        </w:tc>
        <w:tc>
          <w:tcPr>
            <w:tcW w:w="453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66BEA69">
            <w:pPr>
              <w:keepNext w:val="0"/>
              <w:widowControl/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服务就绪后按键开始；停止走网页</w:t>
            </w:r>
          </w:p>
        </w:tc>
      </w:tr>
      <w:tr w14:paraId="37F81D0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06" w:type="dxa"/>
            <w:shd w:val="clear" w:color="auto" w:fill="F1F5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2E5A691">
            <w:pPr>
              <w:keepNext w:val="0"/>
              <w:widowControl/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电脑关键点工具</w:t>
            </w:r>
          </w:p>
        </w:tc>
        <w:tc>
          <w:tcPr>
            <w:tcW w:w="2602" w:type="dxa"/>
            <w:shd w:val="clear" w:color="auto" w:fill="F1F5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424AE59">
            <w:pPr>
              <w:keepNext w:val="0"/>
              <w:widowControl/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文件与回放链路已验证</w:t>
            </w:r>
          </w:p>
        </w:tc>
        <w:tc>
          <w:tcPr>
            <w:tcW w:w="4530" w:type="dxa"/>
            <w:shd w:val="clear" w:color="auto" w:fill="F1F5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935D3F2">
            <w:pPr>
              <w:keepNext w:val="0"/>
              <w:widowControl/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身体及双手骨架、逐帧指标与帧源接口</w:t>
            </w:r>
          </w:p>
        </w:tc>
      </w:tr>
      <w:tr w14:paraId="373D7D9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06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C4ADB8D">
            <w:pPr>
              <w:keepNext w:val="0"/>
              <w:widowControl/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PS full 手部教师</w:t>
            </w:r>
          </w:p>
        </w:tc>
        <w:tc>
          <w:tcPr>
            <w:tcW w:w="2602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F558139">
            <w:pPr>
              <w:keepNext w:val="0"/>
              <w:widowControl/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已运行并完成配对测试</w:t>
            </w:r>
          </w:p>
        </w:tc>
        <w:tc>
          <w:tcPr>
            <w:tcW w:w="453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76FFD9B">
            <w:pPr>
              <w:keepNext w:val="0"/>
              <w:widowControl/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板内找手、ROI、关键点、四输出和跟踪</w:t>
            </w:r>
          </w:p>
        </w:tc>
      </w:tr>
      <w:tr w14:paraId="70E00CB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06" w:type="dxa"/>
            <w:shd w:val="clear" w:color="auto" w:fill="F1F5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D9755C9">
            <w:pPr>
              <w:keepNext w:val="0"/>
              <w:widowControl/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历史 lite PL 网络</w:t>
            </w:r>
          </w:p>
        </w:tc>
        <w:tc>
          <w:tcPr>
            <w:tcW w:w="2602" w:type="dxa"/>
            <w:shd w:val="clear" w:color="auto" w:fill="F1F5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3717905">
            <w:pPr>
              <w:keepNext w:val="0"/>
              <w:widowControl/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已完成上板实验</w:t>
            </w:r>
          </w:p>
        </w:tc>
        <w:tc>
          <w:tcPr>
            <w:tcW w:w="4530" w:type="dxa"/>
            <w:shd w:val="clear" w:color="auto" w:fill="F1F5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E30B959">
            <w:pPr>
              <w:keepNext w:val="0"/>
              <w:widowControl/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整数参考对齐、整板时序、动态结果更新</w:t>
            </w:r>
          </w:p>
        </w:tc>
      </w:tr>
      <w:tr w14:paraId="5FCBE11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06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8B3061E">
            <w:pPr>
              <w:keepNext w:val="0"/>
              <w:widowControl/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新 full 教师 PL 局部迁移</w:t>
            </w:r>
          </w:p>
        </w:tc>
        <w:tc>
          <w:tcPr>
            <w:tcW w:w="2602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D6E066E">
            <w:pPr>
              <w:keepNext w:val="0"/>
              <w:widowControl/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完成迁移前验证</w:t>
            </w:r>
          </w:p>
        </w:tc>
        <w:tc>
          <w:tcPr>
            <w:tcW w:w="453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3487343">
            <w:pPr>
              <w:keepNext w:val="0"/>
              <w:widowControl/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边界、常量、CPU 重放与 CMA 微基准</w:t>
            </w:r>
          </w:p>
        </w:tc>
      </w:tr>
      <w:tr w14:paraId="46F5968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06" w:type="dxa"/>
            <w:shd w:val="clear" w:color="auto" w:fill="F1F5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77DF66D">
            <w:pPr>
              <w:keepNext w:val="0"/>
              <w:widowControl/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真实相机与完整手语理解</w:t>
            </w:r>
          </w:p>
        </w:tc>
        <w:tc>
          <w:tcPr>
            <w:tcW w:w="2602" w:type="dxa"/>
            <w:shd w:val="clear" w:color="auto" w:fill="F1F5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6A87FDD">
            <w:pPr>
              <w:keepNext w:val="0"/>
              <w:widowControl/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尚未完成对应验收</w:t>
            </w:r>
          </w:p>
        </w:tc>
        <w:tc>
          <w:tcPr>
            <w:tcW w:w="4530" w:type="dxa"/>
            <w:shd w:val="clear" w:color="auto" w:fill="F1F5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0FD6BB4">
            <w:pPr>
              <w:keepNext w:val="0"/>
              <w:widowControl/>
              <w:spacing w:after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不列入已实现能力或当前量化成绩</w:t>
            </w:r>
          </w:p>
        </w:tc>
      </w:tr>
    </w:tbl>
    <w:p w14:paraId="5480D53B">
      <w:pPr>
        <w:spacing w:after="0" w:line="60" w:lineRule="exact"/>
      </w:pPr>
    </w:p>
    <w:p w14:paraId="452D5B51">
      <w:pPr>
        <w:pStyle w:val="4"/>
      </w:pPr>
      <w:r>
        <w:t>6.2 补充性能证据</w:t>
      </w:r>
    </w:p>
    <w:p w14:paraId="3530687B">
      <w:pPr>
        <w:ind w:firstLine="420" w:firstLineChars="200"/>
      </w:pPr>
      <w:r>
        <w:rPr>
          <w:b w:val="0"/>
        </w:rPr>
        <w:t>历史 lite PL 网络对同一 ROI 三次前向为 0.505、0.490、0.490 秒，64 项输出均与整数参考一致；主机 C 的 7 个 ROI、C/RTL 的 10 组共 5106 项输出也通过对齐。动态测试记录 243 次实际 PL 结果，并获得视频与骨架持续更新的目视确认。这些结果属于历史模型和对应固件。</w:t>
      </w:r>
    </w:p>
    <w:p w14:paraId="23CC243F">
      <w:pPr>
        <w:ind w:firstLine="420" w:firstLineChars="200"/>
      </w:pPr>
      <w:r>
        <w:rPr>
          <w:b w:val="0"/>
        </w:rPr>
        <w:t>板内 raw 回放测试在 120 秒内完成 2880 次帧缓冲写入，约 24 次/秒，复制 P95 为 5.55ms。该实验未运行关键点推理，证明的是显示内存写入吞吐；屏幕目视、VSync、撕裂和并发帧龄不能据此判定通过。</w:t>
      </w:r>
    </w:p>
    <w:p w14:paraId="6D983B5B">
      <w:pPr>
        <w:ind w:firstLine="420" w:firstLineChars="200"/>
      </w:pPr>
      <w:r>
        <w:rPr>
          <w:b w:val="0"/>
        </w:rPr>
        <w:t>历史 M1 的 8 类 28 条 DTW 留一评估为 9/28，即 32.1%；按课级来源分组留出的 3 条测试为 1/3。单条“谢谢”回放的 35 次滑窗预测均命中，也不能扩写成全词表 100% 识别率。现阶段不提供跨人物词义识别率或现场 ASR 字错率。</w:t>
      </w:r>
    </w:p>
    <w:p w14:paraId="470C82C9">
      <w:pPr>
        <w:pStyle w:val="3"/>
        <w:pageBreakBefore/>
      </w:pPr>
      <w:r>
        <w:t>7 创新点与工程特色</w:t>
      </w:r>
    </w:p>
    <w:p w14:paraId="6653ED80">
      <w:pPr>
        <w:pStyle w:val="4"/>
      </w:pPr>
      <w:r>
        <w:t>7.1 可演示的多模态交互组织</w:t>
      </w:r>
    </w:p>
    <w:p w14:paraId="174CE468">
      <w:pPr>
        <w:ind w:firstLine="420" w:firstLineChars="200"/>
      </w:pPr>
      <w:r>
        <w:rPr>
          <w:b w:val="0"/>
        </w:rPr>
        <w:t>作品将音频输入、动态字幕、匹配手语视频、视觉骨架及 HDMI 展示组织在共享硬件平台上。系统既保留语音到已有手语素材的直观反馈，也提供视觉运动信息的结构化输出，便于课堂演示、算法对照与后续交互扩展。板端输入、电脑服务和 FPGA 显示的职责明确，按键触发、断流处理与缺失素材提示使演示具备完整操作流程。</w:t>
      </w:r>
    </w:p>
    <w:p w14:paraId="7A5AAB77">
      <w:pPr>
        <w:pStyle w:val="4"/>
      </w:pPr>
      <w:r>
        <w:t>7.2 保留教师模型的局部迁移方法</w:t>
      </w:r>
    </w:p>
    <w:p w14:paraId="56BCDEC4">
      <w:pPr>
        <w:ind w:firstLine="420" w:firstLineChars="200"/>
      </w:pPr>
      <w:r>
        <w:rPr>
          <w:b w:val="0"/>
        </w:rPr>
        <w:t>当前方案围绕“改变计算位置而保持模型语义”开展：冻结模型 SHA、原始权重、预处理和全部输出，按真实耗时选择连续子图。100 个真实 ROI 的运行时边界与独立 CPU 重放逐值一致，为后续硬件接入提供可复现的输入和参考结果。这项成果目前属于迁移验证方法，实际 PL delegate 与浮点核仍需实现。</w:t>
      </w:r>
    </w:p>
    <w:p w14:paraId="5428A080">
      <w:pPr>
        <w:pStyle w:val="4"/>
      </w:pPr>
      <w:r>
        <w:t>7.3 基于瓶颈证据的软件优化</w:t>
      </w:r>
    </w:p>
    <w:p w14:paraId="791DC58A">
      <w:pPr>
        <w:ind w:firstLine="420" w:firstLineChars="200"/>
      </w:pPr>
      <w:r>
        <w:rPr>
          <w:b w:val="0"/>
        </w:rPr>
        <w:t>项目没有仅用卷积 MAC 数估算整机速度，而是把神经网络、后处理、复制和显示分开计时。发现 palm 后处理的标量循环开销后，利用远离接受阈值的安全区间进行预筛，保留阈值邻域的原计算，避免浮点舍入改变接受结果。最终在同一输入、同一检测频率和相同输出下取得约 1.55 倍的平均处理加速，体现了可验证的系统优化价值。</w:t>
      </w:r>
    </w:p>
    <w:p w14:paraId="682B9997">
      <w:pPr>
        <w:pStyle w:val="4"/>
      </w:pPr>
      <w:r>
        <w:t>7.4 流式整数核与数值验证结合</w:t>
      </w:r>
    </w:p>
    <w:p w14:paraId="0CF8C71A">
      <w:pPr>
        <w:ind w:firstLine="420" w:firstLineChars="200"/>
      </w:pPr>
      <w:r>
        <w:rPr>
          <w:b w:val="0"/>
        </w:rPr>
        <w:t>历史 PL 实现将卷积与 depthwise 计算组织为生产者和写回消费者，通过 FIFO 协同，并对访存布局、尾通道、边界和舍入行为进行验证。该版 MAC 循环实际 II=1，量化消费者实际 II=2；综合、C/RTL、整板时序与上板输出分别留有证据。创新重点在于面向有限资源的计算与访存组织，以及从参考值到实物结果的验证链，而非仅展示 HLS 估计值。</w:t>
      </w:r>
    </w:p>
    <w:p w14:paraId="377820E5">
      <w:pPr>
        <w:pStyle w:val="4"/>
      </w:pPr>
      <w:r>
        <w:t>7.5 数据与发布状态可追溯</w:t>
      </w:r>
    </w:p>
    <w:p w14:paraId="15353FD1">
      <w:pPr>
        <w:ind w:firstLine="420" w:firstLineChars="200"/>
      </w:pPr>
      <w:r>
        <w:rPr>
          <w:b w:val="0"/>
        </w:rPr>
        <w:t>素材以清单、来源和文件哈希绑定，区分活动池、待审素材与缺失记录；模型、参数、固件及实验输出也使用可核验的版本信息。样本数量、模型输出一致性、语义准确率与硬件时延分别报告，能够明确回答“数据来自哪里、计算在哪里执行、这个数字证明了什么”。这使作品具备交接、复现和持续改进的基础。</w:t>
      </w:r>
    </w:p>
    <w:p w14:paraId="28393290">
      <w:pPr>
        <w:pStyle w:val="3"/>
        <w:pageBreakBefore/>
      </w:pPr>
      <w:r>
        <w:t>8 交付内容与后续工作</w:t>
      </w:r>
    </w:p>
    <w:p w14:paraId="6F67CDA5">
      <w:pPr>
        <w:pStyle w:val="4"/>
      </w:pPr>
      <w:r>
        <w:t>8.1 已形成的工程交付</w:t>
      </w:r>
    </w:p>
    <w:p w14:paraId="196C5BDB">
      <w:r>
        <w:rPr>
          <w:b w:val="0"/>
        </w:rPr>
        <w:t>仓库包含 FPGA 工程、约束与构建脚本，板端音频和显示程序、教师模型运行封装，电脑端音频启动器和视觉工具，以及数据清单、测试程序与分析记录。构建缓存和本地媒体与主源码分开，阶段报告保留失败记录及测试条件，便于更换开发人员后继续复现。</w:t>
      </w:r>
    </w:p>
    <w:p w14:paraId="4320B06E">
      <w:r>
        <w:rPr>
          <w:b w:val="0"/>
        </w:rPr>
        <w:t>当前软件优化已经写入 teacher_geometry.py，并在板端隔离目录完成验证。P1 测试前后原部署模型、运行库、源码、固件文件哈希、启动 ID 与按键及 HDMI 进程保持不变。文档描述的是已完成的实验与交付内容，不表示所有实验配置均作为常驻服务同时在线。</w:t>
      </w:r>
    </w:p>
    <w:p w14:paraId="2DE6FA9A">
      <w:pPr>
        <w:pStyle w:val="4"/>
      </w:pPr>
      <w:r>
        <w:t>8.2 后续验收重点</w:t>
      </w:r>
    </w:p>
    <w:p w14:paraId="5B6AACAE">
      <w:r>
        <w:rPr>
          <w:b w:val="0"/>
        </w:rPr>
        <w:t>新教师迁移首先需要完成单个连续分区的 CPU 测试接图，确认剩余 XNNPACK 分区及其调度开销；有净收益依据后，再开展 FP32 核的 C/RTL、资源、时序和整板验证。最终应使用相同输入与显示配置进行至少三轮、每轮至少 300 帧的配对，并检查长时间运行和实际屏幕表现。</w:t>
      </w:r>
    </w:p>
    <w:p w14:paraId="25080FCE">
      <w:r>
        <w:rPr>
          <w:b w:val="0"/>
        </w:rPr>
        <w:t>真实摄像头接入、快速运动和遮挡、完整身体模型的板端部署、跨人物词义识别，以及音频长期稳定性和物理断电后的自动恢复，均是独立验收项。当前不启动新的学生训练或人工标注任务；后续性能目标根据测得的热点占比和迁移成本制定。</w:t>
      </w:r>
    </w:p>
    <w:p w14:paraId="23200A45">
      <w:pPr>
        <w:pStyle w:val="4"/>
      </w:pPr>
      <w:r>
        <w:t>8.3 主要证据索引</w:t>
      </w:r>
    </w:p>
    <w:p w14:paraId="53D56877">
      <w:r>
        <w:rPr>
          <w:b w:val="0"/>
        </w:rPr>
        <w:t>以下路径均相对仓库根目录。正文编号指向同一阶段和测试范围，历史结果不替代当前固件现场核对。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3"/>
        <w:gridCol w:w="6313"/>
        <w:gridCol w:w="2602"/>
      </w:tblGrid>
      <w:tr w14:paraId="377A194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23" w:type="dxa"/>
            <w:shd w:val="clear" w:color="auto" w:fill="24465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0C371CD">
            <w:pPr>
              <w:keepNext/>
              <w:widowControl/>
              <w:spacing w:after="0" w:line="264" w:lineRule="auto"/>
              <w:jc w:val="center"/>
            </w:pPr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w="6313" w:type="dxa"/>
            <w:shd w:val="clear" w:color="auto" w:fill="24465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FDC8E53">
            <w:pPr>
              <w:keepNext/>
              <w:widowControl/>
              <w:spacing w:after="0" w:line="264" w:lineRule="auto"/>
              <w:jc w:val="center"/>
            </w:pPr>
            <w:r>
              <w:rPr>
                <w:b/>
                <w:color w:val="FFFFFF"/>
                <w:sz w:val="18"/>
              </w:rPr>
              <w:t>证据位置</w:t>
            </w:r>
          </w:p>
        </w:tc>
        <w:tc>
          <w:tcPr>
            <w:tcW w:w="2602" w:type="dxa"/>
            <w:shd w:val="clear" w:color="auto" w:fill="24465E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BAC18C0">
            <w:pPr>
              <w:keepNext/>
              <w:widowControl/>
              <w:spacing w:after="0" w:line="264" w:lineRule="auto"/>
              <w:jc w:val="center"/>
            </w:pPr>
            <w:r>
              <w:rPr>
                <w:b/>
                <w:color w:val="FFFFFF"/>
                <w:sz w:val="18"/>
              </w:rPr>
              <w:t>支持内容</w:t>
            </w:r>
          </w:p>
        </w:tc>
      </w:tr>
      <w:tr w14:paraId="25C813B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23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E5AC5DA">
            <w:pPr>
              <w:keepNext w:val="0"/>
              <w:widowControl/>
              <w:spacing w:after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E1</w:t>
            </w:r>
          </w:p>
        </w:tc>
        <w:tc>
          <w:tcPr>
            <w:tcW w:w="6313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6F90D7E">
            <w:pPr>
              <w:keepNext w:val="0"/>
              <w:widowControl/>
              <w:spacing w:after="0" w:line="264" w:lineRule="auto"/>
              <w:jc w:val="left"/>
            </w:pPr>
            <w:r>
              <w:rPr>
                <w:b w:val="0"/>
                <w:color w:val="000000"/>
                <w:sz w:val="18"/>
              </w:rPr>
              <w:t>project/M0_移植清单.md</w:t>
            </w:r>
          </w:p>
        </w:tc>
        <w:tc>
          <w:tcPr>
            <w:tcW w:w="2602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B9463E3">
            <w:pPr>
              <w:keepNext w:val="0"/>
              <w:widowControl/>
              <w:spacing w:after="0" w:line="264" w:lineRule="auto"/>
              <w:jc w:val="left"/>
            </w:pPr>
            <w:r>
              <w:rPr>
                <w:b w:val="0"/>
                <w:color w:val="000000"/>
                <w:sz w:val="18"/>
              </w:rPr>
              <w:t>HDMI 音频重建与板端验收</w:t>
            </w:r>
          </w:p>
        </w:tc>
      </w:tr>
      <w:tr w14:paraId="410F198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23" w:type="dxa"/>
            <w:shd w:val="clear" w:color="auto" w:fill="F1F5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89C088B">
            <w:pPr>
              <w:keepNext w:val="0"/>
              <w:widowControl/>
              <w:spacing w:after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E2</w:t>
            </w:r>
          </w:p>
        </w:tc>
        <w:tc>
          <w:tcPr>
            <w:tcW w:w="6313" w:type="dxa"/>
            <w:shd w:val="clear" w:color="auto" w:fill="F1F5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74D5852">
            <w:pPr>
              <w:keepNext w:val="0"/>
              <w:widowControl/>
              <w:spacing w:after="0" w:line="264" w:lineRule="auto"/>
              <w:jc w:val="left"/>
            </w:pPr>
            <w:r>
              <w:rPr>
                <w:b w:val="0"/>
                <w:color w:val="000000"/>
                <w:sz w:val="18"/>
              </w:rPr>
              <w:t>ASR/README.md；AGENTS.md 第4b节</w:t>
            </w:r>
          </w:p>
        </w:tc>
        <w:tc>
          <w:tcPr>
            <w:tcW w:w="2602" w:type="dxa"/>
            <w:shd w:val="clear" w:color="auto" w:fill="F1F5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C36E60A">
            <w:pPr>
              <w:keepNext w:val="0"/>
              <w:widowControl/>
              <w:spacing w:after="0" w:line="264" w:lineRule="auto"/>
              <w:jc w:val="left"/>
            </w:pPr>
            <w:r>
              <w:rPr>
                <w:b w:val="0"/>
                <w:color w:val="000000"/>
                <w:sz w:val="18"/>
              </w:rPr>
              <w:t>音频字幕视频闭环与按键链路</w:t>
            </w:r>
          </w:p>
        </w:tc>
      </w:tr>
      <w:tr w14:paraId="4B904FB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23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BABF015">
            <w:pPr>
              <w:keepNext w:val="0"/>
              <w:widowControl/>
              <w:spacing w:after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E3</w:t>
            </w:r>
          </w:p>
        </w:tc>
        <w:tc>
          <w:tcPr>
            <w:tcW w:w="6313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6559F04">
            <w:pPr>
              <w:keepNext w:val="0"/>
              <w:widowControl/>
              <w:spacing w:after="0" w:line="264" w:lineRule="auto"/>
              <w:jc w:val="left"/>
            </w:pPr>
            <w:r>
              <w:rPr>
                <w:b w:val="0"/>
                <w:color w:val="000000"/>
                <w:sz w:val="18"/>
              </w:rPr>
              <w:t>vision/src/vision/keypoints/README.md</w:t>
            </w:r>
          </w:p>
        </w:tc>
        <w:tc>
          <w:tcPr>
            <w:tcW w:w="2602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FC8A80D">
            <w:pPr>
              <w:keepNext w:val="0"/>
              <w:widowControl/>
              <w:spacing w:after="0" w:line="264" w:lineRule="auto"/>
              <w:jc w:val="left"/>
            </w:pPr>
            <w:r>
              <w:rPr>
                <w:b w:val="0"/>
                <w:color w:val="000000"/>
                <w:sz w:val="18"/>
              </w:rPr>
              <w:t>电脑关键点接口和验证范围</w:t>
            </w:r>
          </w:p>
        </w:tc>
      </w:tr>
      <w:tr w14:paraId="2FB5D49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23" w:type="dxa"/>
            <w:shd w:val="clear" w:color="auto" w:fill="F1F5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92AEEBD">
            <w:pPr>
              <w:keepNext w:val="0"/>
              <w:widowControl/>
              <w:spacing w:after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E4</w:t>
            </w:r>
          </w:p>
        </w:tc>
        <w:tc>
          <w:tcPr>
            <w:tcW w:w="6313" w:type="dxa"/>
            <w:shd w:val="clear" w:color="auto" w:fill="F1F5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B3D7EBC">
            <w:pPr>
              <w:keepNext w:val="0"/>
              <w:widowControl/>
              <w:spacing w:after="0" w:line="264" w:lineRule="auto"/>
              <w:jc w:val="left"/>
            </w:pPr>
            <w:r>
              <w:rPr>
                <w:b w:val="0"/>
                <w:color w:val="000000"/>
                <w:sz w:val="18"/>
              </w:rPr>
              <w:t>project/analysis/keypoints_pl_20261026/stream_wide.md</w:t>
            </w:r>
          </w:p>
        </w:tc>
        <w:tc>
          <w:tcPr>
            <w:tcW w:w="2602" w:type="dxa"/>
            <w:shd w:val="clear" w:color="auto" w:fill="F1F5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104D1CD">
            <w:pPr>
              <w:keepNext w:val="0"/>
              <w:widowControl/>
              <w:spacing w:after="0" w:line="264" w:lineRule="auto"/>
              <w:jc w:val="left"/>
            </w:pPr>
            <w:r>
              <w:rPr>
                <w:b w:val="0"/>
                <w:color w:val="000000"/>
                <w:sz w:val="18"/>
              </w:rPr>
              <w:t>历史整数 PL 网络与整板结果</w:t>
            </w:r>
          </w:p>
        </w:tc>
      </w:tr>
      <w:tr w14:paraId="09D7242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23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32EC2E7">
            <w:pPr>
              <w:keepNext w:val="0"/>
              <w:widowControl/>
              <w:spacing w:after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E5</w:t>
            </w:r>
          </w:p>
        </w:tc>
        <w:tc>
          <w:tcPr>
            <w:tcW w:w="6313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6A4A9A5">
            <w:pPr>
              <w:keepNext w:val="0"/>
              <w:widowControl/>
              <w:spacing w:after="0" w:line="264" w:lineRule="auto"/>
              <w:jc w:val="left"/>
            </w:pPr>
            <w:r>
              <w:rPr>
                <w:b w:val="0"/>
                <w:color w:val="000000"/>
                <w:sz w:val="18"/>
              </w:rPr>
              <w:t>project/analysis/teacher_partition_20261028/p1.md；p1.json；p1_verification.json</w:t>
            </w:r>
          </w:p>
        </w:tc>
        <w:tc>
          <w:tcPr>
            <w:tcW w:w="2602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90E16E0">
            <w:pPr>
              <w:keepNext w:val="0"/>
              <w:widowControl/>
              <w:spacing w:after="0" w:line="264" w:lineRule="auto"/>
              <w:jc w:val="left"/>
            </w:pPr>
            <w:r>
              <w:rPr>
                <w:b w:val="0"/>
                <w:color w:val="000000"/>
                <w:sz w:val="18"/>
              </w:rPr>
              <w:t>两轮配对、100 ROI 与 CMA 证据</w:t>
            </w:r>
          </w:p>
        </w:tc>
      </w:tr>
      <w:tr w14:paraId="11F2359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23" w:type="dxa"/>
            <w:shd w:val="clear" w:color="auto" w:fill="F1F5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F7BF42F">
            <w:pPr>
              <w:keepNext w:val="0"/>
              <w:widowControl/>
              <w:spacing w:after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E6</w:t>
            </w:r>
          </w:p>
        </w:tc>
        <w:tc>
          <w:tcPr>
            <w:tcW w:w="6313" w:type="dxa"/>
            <w:shd w:val="clear" w:color="auto" w:fill="F1F5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E21B446">
            <w:pPr>
              <w:keepNext w:val="0"/>
              <w:widowControl/>
              <w:spacing w:after="0" w:line="264" w:lineRule="auto"/>
              <w:jc w:val="left"/>
            </w:pPr>
            <w:r>
              <w:rPr>
                <w:b w:val="0"/>
                <w:color w:val="000000"/>
                <w:sz w:val="18"/>
              </w:rPr>
              <w:t>vision/analysis/dataset/README.md；docs/协作/媒体清单修复_20261026.md</w:t>
            </w:r>
          </w:p>
        </w:tc>
        <w:tc>
          <w:tcPr>
            <w:tcW w:w="2602" w:type="dxa"/>
            <w:shd w:val="clear" w:color="auto" w:fill="F1F5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E26DF34">
            <w:pPr>
              <w:keepNext w:val="0"/>
              <w:widowControl/>
              <w:spacing w:after="0" w:line="264" w:lineRule="auto"/>
              <w:jc w:val="left"/>
            </w:pPr>
            <w:r>
              <w:rPr>
                <w:b w:val="0"/>
                <w:color w:val="000000"/>
                <w:sz w:val="18"/>
              </w:rPr>
              <w:t>素材组成、来源与审核范围</w:t>
            </w:r>
          </w:p>
        </w:tc>
      </w:tr>
      <w:tr w14:paraId="523BE07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23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A8BADC7">
            <w:pPr>
              <w:keepNext w:val="0"/>
              <w:widowControl/>
              <w:spacing w:after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E7</w:t>
            </w:r>
          </w:p>
        </w:tc>
        <w:tc>
          <w:tcPr>
            <w:tcW w:w="6313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80378DB">
            <w:pPr>
              <w:keepNext w:val="0"/>
              <w:widowControl/>
              <w:spacing w:after="0" w:line="264" w:lineRule="auto"/>
              <w:jc w:val="left"/>
            </w:pPr>
            <w:r>
              <w:rPr>
                <w:b w:val="0"/>
                <w:color w:val="000000"/>
                <w:sz w:val="18"/>
              </w:rPr>
              <w:t>vision/src/vision/m1/README.md</w:t>
            </w:r>
          </w:p>
        </w:tc>
        <w:tc>
          <w:tcPr>
            <w:tcW w:w="2602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E7427F7">
            <w:pPr>
              <w:keepNext w:val="0"/>
              <w:widowControl/>
              <w:spacing w:after="0" w:line="264" w:lineRule="auto"/>
              <w:jc w:val="left"/>
            </w:pPr>
            <w:r>
              <w:rPr>
                <w:b w:val="0"/>
                <w:color w:val="000000"/>
                <w:sz w:val="18"/>
              </w:rPr>
              <w:t>历史 DTW 数据与评测结果</w:t>
            </w:r>
          </w:p>
        </w:tc>
      </w:tr>
      <w:tr w14:paraId="2D05F15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23" w:type="dxa"/>
            <w:shd w:val="clear" w:color="auto" w:fill="F1F5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0033B20">
            <w:pPr>
              <w:keepNext w:val="0"/>
              <w:widowControl/>
              <w:spacing w:after="0" w:line="264" w:lineRule="auto"/>
              <w:jc w:val="center"/>
            </w:pPr>
            <w:r>
              <w:rPr>
                <w:b w:val="0"/>
                <w:color w:val="000000"/>
                <w:sz w:val="18"/>
              </w:rPr>
              <w:t>E8</w:t>
            </w:r>
          </w:p>
        </w:tc>
        <w:tc>
          <w:tcPr>
            <w:tcW w:w="6313" w:type="dxa"/>
            <w:shd w:val="clear" w:color="auto" w:fill="F1F5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F176BFA">
            <w:pPr>
              <w:keepNext w:val="0"/>
              <w:widowControl/>
              <w:spacing w:after="0" w:line="264" w:lineRule="auto"/>
              <w:jc w:val="left"/>
            </w:pPr>
            <w:r>
              <w:rPr>
                <w:b w:val="0"/>
                <w:color w:val="000000"/>
                <w:sz w:val="18"/>
              </w:rPr>
              <w:t>project/analysis/keypoints_pl_20261026/raw_video.md</w:t>
            </w:r>
          </w:p>
        </w:tc>
        <w:tc>
          <w:tcPr>
            <w:tcW w:w="2602" w:type="dxa"/>
            <w:shd w:val="clear" w:color="auto" w:fill="F1F5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73ADD87">
            <w:pPr>
              <w:keepNext w:val="0"/>
              <w:widowControl/>
              <w:spacing w:after="0" w:line="264" w:lineRule="auto"/>
              <w:jc w:val="left"/>
            </w:pPr>
            <w:r>
              <w:rPr>
                <w:b w:val="0"/>
                <w:color w:val="000000"/>
                <w:sz w:val="18"/>
              </w:rPr>
              <w:t>raw 帧缓冲写入吞吐</w:t>
            </w:r>
          </w:p>
        </w:tc>
      </w:tr>
    </w:tbl>
    <w:p w14:paraId="2594767E">
      <w:pPr>
        <w:spacing w:after="0" w:line="60" w:lineRule="exact"/>
      </w:pPr>
    </w:p>
    <w:p w14:paraId="62975827">
      <w:pPr>
        <w:pStyle w:val="4"/>
      </w:pPr>
      <w:r>
        <w:t>8.4 术语</w:t>
      </w:r>
    </w:p>
    <w:p w14:paraId="21062C99">
      <w:r>
        <w:rPr>
          <w:b w:val="0"/>
        </w:rPr>
        <w:t>PS 为 Zynq 的处理系统，PL 为可编程逻辑；ROI 为感兴趣区域；CMA 为连续内存分配；SHA256 用于标识文件内容；C/RTL 为高层计算参考与硬件描述的联合验证。本文所称教师模型是已部署的预训练关键点网络，不是教学视频中的示范者。</w:t>
      </w:r>
    </w:p>
    <w:sectPr>
      <w:footerReference r:id="rId5" w:type="default"/>
      <w:pgSz w:w="11906" w:h="16838"/>
      <w:pgMar w:top="1020" w:right="1134" w:bottom="1020" w:left="1134" w:header="720" w:footer="45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Kozuka Mincho Pr6N R">
    <w:panose1 w:val="02020400000000000000"/>
    <w:charset w:val="80"/>
    <w:family w:val="auto"/>
    <w:pitch w:val="default"/>
    <w:sig w:usb0="000002D7" w:usb1="2AC73C11" w:usb2="00000012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360EF9">
    <w:pPr>
      <w:pStyle w:val="24"/>
      <w:jc w:val="center"/>
    </w:pPr>
    <w:r>
      <w:rPr>
        <w:color w:val="000000"/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color w:val="000000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3093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after="120" w:line="300" w:lineRule="auto"/>
    </w:pPr>
    <w:rPr>
      <w:rFonts w:ascii="Calibri" w:hAnsi="Calibri" w:eastAsia="宋体" w:cstheme="minorBidi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80" w:after="160" w:line="264" w:lineRule="auto"/>
      <w:outlineLvl w:val="0"/>
    </w:pPr>
    <w:rPr>
      <w:rFonts w:ascii="Calibri" w:hAnsi="Calibri" w:eastAsia="黑体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80" w:after="160" w:line="264" w:lineRule="auto"/>
      <w:outlineLvl w:val="1"/>
    </w:pPr>
    <w:rPr>
      <w:rFonts w:ascii="Calibri" w:hAnsi="Calibri" w:eastAsia="黑体"/>
      <w:b/>
      <w:bCs/>
      <w:color w:val="000000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after="100" w:line="240" w:lineRule="auto"/>
    </w:pPr>
    <w:rPr>
      <w:rFonts w:ascii="Calibri" w:hAnsi="Calibri" w:eastAsia="宋体"/>
      <w:bCs/>
      <w:color w:val="000000"/>
      <w:sz w:val="18"/>
      <w:szCs w:val="18"/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keepNext/>
      <w:spacing w:before="80" w:after="160" w:line="264" w:lineRule="auto"/>
    </w:pPr>
    <w:rPr>
      <w:rFonts w:ascii="Calibri" w:hAnsi="Calibri" w:eastAsia="黑体"/>
      <w:i/>
      <w:iCs/>
      <w:color w:val="000000"/>
      <w:spacing w:val="15"/>
      <w:sz w:val="24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spacing w:before="80" w:after="160" w:line="264" w:lineRule="auto"/>
      <w:contextualSpacing/>
    </w:pPr>
    <w:rPr>
      <w:rFonts w:ascii="Calibri" w:hAnsi="Calibri" w:eastAsia="黑体"/>
      <w:b/>
      <w:color w:val="000000"/>
      <w:spacing w:val="5"/>
      <w:kern w:val="28"/>
      <w:sz w:val="46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1563</Words>
  <Characters>1814</Characters>
  <Lines>0</Lines>
  <Paragraphs>0</Paragraphs>
  <TotalTime>8</TotalTime>
  <ScaleCrop>false</ScaleCrop>
  <LinksUpToDate>false</LinksUpToDate>
  <CharactersWithSpaces>1917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2026-10-28T00:00:00Z</dcterms:created>
  <dc:creator>星星蘸糖酱</dc:creator>
  <dc:description>generated by python-docx</dc:description>
  <cp:lastModifiedBy>星星蘸糖酱</cp:lastModifiedBy>
  <dcterms:modified xsi:type="dcterms:W3CDTF">2026-10-28T10:24:51Z</dcterms:modified>
  <dc:subject>已完成功能 数据集使用 性能指标 完成度与工程创新</dc:subject>
  <dc:title>妙手通言作品说明文档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eyJoZGlkIjoiYmJmM2MyMDBiMzI5NWQ2YThiNTUyY2UxOTMyZjkzMWYiLCJ1c2VySWQiOiIxNzI0MjI2Mzg4In0=</vt:lpwstr>
  </property>
  <property fmtid="{D5CDD505-2E9C-101B-9397-08002B2CF9AE}" pid="3" name="KSOProductBuildVer">
    <vt:lpwstr>2052-12.1.0.29161</vt:lpwstr>
  </property>
  <property fmtid="{D5CDD505-2E9C-101B-9397-08002B2CF9AE}" pid="4" name="ICV">
    <vt:lpwstr>8AE51B64D59C4C78A5A99920DDCB7A47_12</vt:lpwstr>
  </property>
</Properties>
</file>