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82828"/>
          <w:sz w:val="42"/>
        </w:rPr>
        <w:t>THERMAL SYSTEMS RETROFIT PROGRAM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Engineering Report / Draft for internal circulation only</w:t>
      </w:r>
    </w:p>
    <w:p/>
    <w:p/>
    <w:p/>
    <w:p/>
    <w:p/>
    <w:p>
      <w:pPr>
        <w:jc w:val="center"/>
      </w:pPr>
      <w:r>
        <w:rPr>
          <w:rFonts w:ascii="Calibri" w:hAnsi="Calibri" w:eastAsia="Calibri"/>
          <w:sz w:val="26"/>
        </w:rPr>
        <w:t>Prepared by: Process Improvement Office</w:t>
      </w:r>
    </w:p>
    <w:p>
      <w:pPr>
        <w:jc w:val="center"/>
      </w:pPr>
      <w:r>
        <w:rPr>
          <w:rFonts w:ascii="Courier New" w:hAnsi="Courier New" w:eastAsia="Courier New"/>
          <w:sz w:val="22"/>
        </w:rPr>
        <w:t>Revision: 0.7 beta     Date: 19 April 2026</w:t>
      </w:r>
    </w:p>
    <w:p>
      <w:pPr>
        <w:jc w:val="center"/>
      </w:pPr>
      <w:r>
        <w:rPr>
          <w:color w:val="5050A0"/>
          <w:sz w:val="20"/>
        </w:rPr>
        <w:t>For comments email retrofit-core@example.com</w:t>
      </w:r>
    </w:p>
    <w:p>
      <w:r>
        <w:br w:type="page"/>
      </w:r>
    </w:p>
    <w:p>
      <w:r>
        <w:rPr>
          <w:rFonts w:ascii="Arial" w:hAnsi="Arial" w:eastAsia="Arial"/>
          <w:b/>
          <w:sz w:val="30"/>
        </w:rPr>
        <w:t>TABLE OF CONTENTS</w:t>
      </w:r>
    </w:p>
    <w:p>
      <w:pPr>
        <w:tabs>
          <w:tab w:pos="8784" w:val="right" w:leader="dot"/>
        </w:tabs>
        <w:ind w:left="0"/>
      </w:pPr>
      <w:r>
        <w:rPr>
          <w:rFonts w:ascii="Calibri" w:hAnsi="Calibri" w:eastAsia="Calibri"/>
          <w:b/>
          <w:i w:val="0"/>
          <w:sz w:val="22"/>
        </w:rPr>
        <w:t>A. Project Context</w:t>
      </w:r>
      <w:r>
        <w:tab/>
      </w:r>
      <w:r>
        <w:rPr>
          <w:sz w:val="22"/>
        </w:rPr>
        <w:t>3</w:t>
      </w:r>
    </w:p>
    <w:p>
      <w:pPr>
        <w:tabs>
          <w:tab w:pos="8784" w:val="right" w:leader="dot"/>
        </w:tabs>
        <w:ind w:left="288"/>
      </w:pPr>
      <w:r>
        <w:rPr>
          <w:rFonts w:ascii="Calibri" w:hAnsi="Calibri" w:eastAsia="Calibri"/>
          <w:b w:val="0"/>
          <w:i w:val="0"/>
          <w:sz w:val="22"/>
        </w:rPr>
        <w:t>I. Site Conditions</w:t>
      </w:r>
      <w:r>
        <w:tab/>
      </w:r>
      <w:r>
        <w:rPr>
          <w:sz w:val="22"/>
        </w:rPr>
        <w:t>3</w:t>
      </w:r>
    </w:p>
    <w:p>
      <w:pPr>
        <w:tabs>
          <w:tab w:pos="8784" w:val="right" w:leader="dot"/>
        </w:tabs>
        <w:ind w:left="648"/>
      </w:pPr>
      <w:r>
        <w:rPr>
          <w:rFonts w:ascii="Calibri" w:hAnsi="Calibri" w:eastAsia="Calibri"/>
          <w:b w:val="0"/>
          <w:i w:val="0"/>
          <w:sz w:val="22"/>
        </w:rPr>
        <w:t>1. Existing Boiler Room</w:t>
      </w:r>
      <w:r>
        <w:tab/>
      </w:r>
      <w:r>
        <w:rPr>
          <w:sz w:val="22"/>
        </w:rPr>
        <w:t>3</w:t>
      </w:r>
    </w:p>
    <w:p>
      <w:pPr>
        <w:tabs>
          <w:tab w:pos="8784" w:val="right" w:leader="dot"/>
        </w:tabs>
        <w:ind w:left="1080"/>
      </w:pPr>
      <w:r>
        <w:rPr>
          <w:rFonts w:ascii="Calibri" w:hAnsi="Calibri" w:eastAsia="Calibri"/>
          <w:b w:val="0"/>
          <w:i w:val="0"/>
          <w:sz w:val="22"/>
        </w:rPr>
        <w:t>a. Ventilation constraints</w:t>
      </w:r>
      <w:r>
        <w:tab/>
      </w:r>
      <w:r>
        <w:rPr>
          <w:sz w:val="22"/>
        </w:rPr>
        <w:t>4</w:t>
      </w:r>
    </w:p>
    <w:p>
      <w:pPr>
        <w:tabs>
          <w:tab w:pos="8784" w:val="right" w:leader="dot"/>
        </w:tabs>
        <w:ind w:left="1080"/>
      </w:pPr>
      <w:r>
        <w:rPr>
          <w:rFonts w:ascii="Calibri" w:hAnsi="Calibri" w:eastAsia="Calibri"/>
          <w:b w:val="0"/>
          <w:i w:val="0"/>
          <w:sz w:val="22"/>
        </w:rPr>
        <w:t>b. Access path</w:t>
      </w:r>
      <w:r>
        <w:tab/>
      </w:r>
      <w:r>
        <w:rPr>
          <w:sz w:val="22"/>
        </w:rPr>
        <w:t>4</w:t>
      </w:r>
    </w:p>
    <w:p>
      <w:pPr>
        <w:tabs>
          <w:tab w:pos="8784" w:val="right" w:leader="dot"/>
        </w:tabs>
        <w:ind w:left="648"/>
      </w:pPr>
      <w:r>
        <w:rPr>
          <w:rFonts w:ascii="Calibri" w:hAnsi="Calibri" w:eastAsia="Calibri"/>
          <w:b w:val="0"/>
          <w:i w:val="0"/>
          <w:sz w:val="22"/>
        </w:rPr>
        <w:t>2. Temporary bypass plan</w:t>
      </w:r>
      <w:r>
        <w:tab/>
      </w:r>
      <w:r>
        <w:rPr>
          <w:sz w:val="22"/>
        </w:rPr>
        <w:t>4</w:t>
      </w:r>
    </w:p>
    <w:p>
      <w:pPr>
        <w:tabs>
          <w:tab w:pos="8784" w:val="right" w:leader="dot"/>
        </w:tabs>
        <w:ind w:left="1080"/>
      </w:pPr>
      <w:r>
        <w:rPr>
          <w:rFonts w:ascii="Calibri" w:hAnsi="Calibri" w:eastAsia="Calibri"/>
          <w:b w:val="0"/>
          <w:i w:val="0"/>
          <w:sz w:val="22"/>
        </w:rPr>
        <w:t>c. Isolation logic</w:t>
      </w:r>
      <w:r>
        <w:tab/>
      </w:r>
      <w:r>
        <w:rPr>
          <w:sz w:val="22"/>
        </w:rPr>
        <w:t>4</w:t>
      </w:r>
    </w:p>
    <w:p>
      <w:pPr>
        <w:tabs>
          <w:tab w:pos="8784" w:val="right" w:leader="dot"/>
        </w:tabs>
        <w:ind w:left="0"/>
      </w:pPr>
      <w:r>
        <w:rPr>
          <w:rFonts w:ascii="Calibri" w:hAnsi="Calibri" w:eastAsia="Calibri"/>
          <w:b/>
          <w:i w:val="0"/>
          <w:sz w:val="22"/>
        </w:rPr>
        <w:t>B. Retrofit Scope</w:t>
      </w:r>
      <w:r>
        <w:tab/>
      </w:r>
      <w:r>
        <w:rPr>
          <w:sz w:val="22"/>
        </w:rPr>
        <w:t>5</w:t>
      </w:r>
    </w:p>
    <w:p>
      <w:pPr>
        <w:tabs>
          <w:tab w:pos="8784" w:val="right" w:leader="dot"/>
        </w:tabs>
        <w:ind w:left="288"/>
      </w:pPr>
      <w:r>
        <w:rPr>
          <w:rFonts w:ascii="Calibri" w:hAnsi="Calibri" w:eastAsia="Calibri"/>
          <w:b w:val="0"/>
          <w:i w:val="0"/>
          <w:sz w:val="22"/>
        </w:rPr>
        <w:t>I. Mechanical scope</w:t>
      </w:r>
      <w:r>
        <w:tab/>
      </w:r>
      <w:r>
        <w:rPr>
          <w:sz w:val="22"/>
        </w:rPr>
        <w:t>5</w:t>
      </w:r>
    </w:p>
    <w:p>
      <w:pPr>
        <w:tabs>
          <w:tab w:pos="8784" w:val="right" w:leader="dot"/>
        </w:tabs>
        <w:ind w:left="288"/>
      </w:pPr>
      <w:r>
        <w:rPr>
          <w:rFonts w:ascii="Calibri" w:hAnsi="Calibri" w:eastAsia="Calibri"/>
          <w:b w:val="0"/>
          <w:i w:val="0"/>
          <w:sz w:val="22"/>
        </w:rPr>
        <w:t>II. Controls scope</w:t>
      </w:r>
      <w:r>
        <w:tab/>
      </w:r>
      <w:r>
        <w:rPr>
          <w:sz w:val="22"/>
        </w:rPr>
        <w:t>5</w:t>
      </w:r>
    </w:p>
    <w:p>
      <w:pPr>
        <w:tabs>
          <w:tab w:pos="8784" w:val="right" w:leader="dot"/>
        </w:tabs>
        <w:ind w:left="0"/>
      </w:pPr>
      <w:r>
        <w:rPr>
          <w:rFonts w:ascii="Calibri" w:hAnsi="Calibri" w:eastAsia="Calibri"/>
          <w:b w:val="0"/>
          <w:i w:val="0"/>
          <w:sz w:val="22"/>
        </w:rPr>
        <w:t>Appendix - Vendor Matrix</w:t>
      </w:r>
      <w:r>
        <w:tab/>
      </w:r>
      <w:r>
        <w:rPr>
          <w:sz w:val="22"/>
        </w:rPr>
        <w:t>9</w:t>
      </w:r>
    </w:p>
    <w:p>
      <w:r>
        <w:rPr>
          <w:i/>
          <w:color w:val="8C0000"/>
          <w:sz w:val="18"/>
        </w:rPr>
        <w:t>NOTE: page numbers above were typed manually after a rushed submission review.</w:t>
      </w:r>
    </w:p>
    <w:p>
      <w:r>
        <w:br w:type="page"/>
      </w:r>
    </w:p>
    <w:p>
      <w:r>
        <w:rPr>
          <w:rFonts w:ascii="Calibri" w:hAnsi="Calibri" w:eastAsia="Calibri"/>
          <w:b/>
          <w:sz w:val="32"/>
        </w:rPr>
        <w:t>A. Project Context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The retrofit program covers three production buildings, one auxiliary boiler room, and a legacy chilled-water loop that has been patched repeatedly over the last six years. Internal reviewers requested a document that can be sent to operations, finance, and maintenance without preparing three separate versions.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The retrofit program covers three production buildings, one auxiliary boiler room, and a legacy chilled-water loop that has been patched repeatedly over the last six years. Internal reviewers requested a document that can be sent to operations, finance, and maintenance without preparing three separate versions.</w:t>
      </w:r>
    </w:p>
    <w:p>
      <w:r>
        <w:rPr>
          <w:rFonts w:ascii="Times New Roman" w:hAnsi="Times New Roman" w:eastAsia="Times New Roman"/>
          <w:b/>
          <w:sz w:val="28"/>
        </w:rPr>
        <w:t>I. Site Conditions</w:t>
      </w:r>
    </w:p>
    <w:p>
      <w:pPr>
        <w:spacing w:after="120" w:line="264" w:lineRule="auto"/>
      </w:pPr>
      <w:r>
        <w:rPr>
          <w:rFonts w:ascii="Times New Roman" w:hAnsi="Times New Roman" w:eastAsia="Times New Roman"/>
          <w:sz w:val="22"/>
        </w:rPr>
        <w:t>The surveyed site contains mixed-age equipment, undocumented valve labels, and a maintenance access corridor that is routinely blocked by pallet storage during the night shift.</w:t>
      </w:r>
    </w:p>
    <w:p>
      <w:pPr>
        <w:spacing w:after="120" w:line="264" w:lineRule="auto"/>
      </w:pPr>
      <w:r>
        <w:rPr>
          <w:rFonts w:ascii="Times New Roman" w:hAnsi="Times New Roman" w:eastAsia="Times New Roman"/>
          <w:sz w:val="22"/>
        </w:rPr>
        <w:t>The surveyed site contains mixed-age equipment, undocumented valve labels, and a maintenance access corridor that is routinely blocked by pallet storage during the night shift.</w:t>
      </w:r>
    </w:p>
    <w:p>
      <w:pPr>
        <w:ind w:left="144"/>
      </w:pPr>
      <w:r>
        <w:rPr>
          <w:rFonts w:ascii="Arial" w:hAnsi="Arial" w:eastAsia="Arial"/>
          <w:b/>
          <w:sz w:val="26"/>
        </w:rPr>
        <w:t>1. Existing Boiler Room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Ceiling clearance varies from 2.18 m to 2.42 m. Instrument tubing runs diagonally across the north wall and interferes with the preferred crane path for exchanger replacement.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Ceiling clearance varies from 2.18 m to 2.42 m. Instrument tubing runs diagonally across the north wall and interferes with the preferred crane path for exchanger replacement.</w:t>
      </w:r>
    </w:p>
    <w:p>
      <w:r>
        <w:rPr>
          <w:rFonts w:ascii="Calibri" w:hAnsi="Calibri" w:eastAsia="Calibri"/>
          <w:i/>
          <w:sz w:val="24"/>
        </w:rPr>
        <w:t>a. Ventilation constraints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Current extraction fans are undersized for hot-weather commissioning. During summer test windows, air temperature near the mezzanine reached 41 C in the last maintenance log.</w:t>
      </w:r>
    </w:p>
    <w:p>
      <w:r>
        <w:rPr>
          <w:rFonts w:ascii="Georgia" w:hAnsi="Georgia" w:eastAsia="Georgia"/>
          <w:b/>
          <w:sz w:val="24"/>
        </w:rPr>
        <w:t>b. Access path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The temporary route for moving plate exchangers passes through a narrow service door, then turns around a cable tray support. This route is feasible only if spare drums are cleared in advance.</w:t>
      </w:r>
    </w:p>
    <w:p>
      <w:r>
        <w:rPr>
          <w:rFonts w:ascii="Arial" w:hAnsi="Arial" w:eastAsia="Arial"/>
          <w:b/>
          <w:sz w:val="26"/>
        </w:rPr>
        <w:t>2. Temporary bypass plan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The bypass sequence must keep washdown circulation alive for both Building 2 and Building 3. Operators asked that no shutdown step begin before the sanitation window closes at 22:30.</w:t>
      </w:r>
    </w:p>
    <w:p>
      <w:r>
        <w:rPr>
          <w:rFonts w:ascii="Calibri" w:hAnsi="Calibri" w:eastAsia="Calibri"/>
          <w:b/>
          <w:color w:val="640000"/>
          <w:sz w:val="24"/>
        </w:rPr>
        <w:t>c. Isolation logic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This subsection should clearly restart under Section 2, but the current draft inherited lettering from the previous subsection chain. Reviewers complained that the table of contents is therefore unreliable.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This subsection should clearly restart under Section 2, but the current draft inherited lettering from the previous subsection chain. Reviewers complained that the table of contents is therefore unreliable.</w:t>
      </w:r>
    </w:p>
    <w:p>
      <w:r>
        <w:rPr>
          <w:b/>
          <w:sz w:val="24"/>
        </w:rPr>
        <w:t>Observed Constraints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Area</w:t>
            </w:r>
          </w:p>
        </w:tc>
        <w:tc>
          <w:tcPr>
            <w:tcW w:type="dxa" w:w="2484"/>
          </w:tcPr>
          <w:p>
            <w:r>
              <w:t>Issue</w:t>
            </w:r>
          </w:p>
        </w:tc>
        <w:tc>
          <w:tcPr>
            <w:tcW w:type="dxa" w:w="2484"/>
          </w:tcPr>
          <w:p>
            <w:r>
              <w:t>Severity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Boiler Room</w:t>
            </w:r>
          </w:p>
        </w:tc>
        <w:tc>
          <w:tcPr>
            <w:tcW w:type="dxa" w:w="2484"/>
          </w:tcPr>
          <w:p>
            <w:r>
              <w:t>Low headroom near east pipe rack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Facilities</w:t>
            </w:r>
          </w:p>
        </w:tc>
      </w:tr>
      <w:tr>
        <w:tc>
          <w:tcPr>
            <w:tcW w:type="dxa" w:w="2484"/>
          </w:tcPr>
          <w:p>
            <w:r>
              <w:t>Roof plant</w:t>
            </w:r>
          </w:p>
        </w:tc>
        <w:tc>
          <w:tcPr>
            <w:tcW w:type="dxa" w:w="2484"/>
          </w:tcPr>
          <w:p>
            <w:r>
              <w:t>Valve tags missing or duplicated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Maintenance</w:t>
            </w:r>
          </w:p>
        </w:tc>
      </w:tr>
      <w:tr>
        <w:tc>
          <w:tcPr>
            <w:tcW w:type="dxa" w:w="2484"/>
          </w:tcPr>
          <w:p>
            <w:r>
              <w:t>Utility trench</w:t>
            </w:r>
          </w:p>
        </w:tc>
        <w:tc>
          <w:tcPr>
            <w:tcW w:type="dxa" w:w="2484"/>
          </w:tcPr>
          <w:p>
            <w:r>
              <w:t>Water ingress after heavy rain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Civil</w:t>
            </w:r>
          </w:p>
        </w:tc>
      </w:tr>
      <w:tr>
        <w:tc>
          <w:tcPr>
            <w:tcW w:type="dxa" w:w="2484"/>
          </w:tcPr>
          <w:p>
            <w:r>
              <w:t>Corridor C</w:t>
            </w:r>
          </w:p>
        </w:tc>
        <w:tc>
          <w:tcPr>
            <w:tcW w:type="dxa" w:w="2484"/>
          </w:tcPr>
          <w:p>
            <w:r>
              <w:t>Access blocked by packaging stock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Operations</w:t>
            </w:r>
          </w:p>
        </w:tc>
      </w:tr>
    </w:tbl>
    <w:p>
      <w:r>
        <w:br w:type="page"/>
      </w:r>
    </w:p>
    <w:p>
      <w:r>
        <w:rPr>
          <w:rFonts w:ascii="Arial" w:hAnsi="Arial" w:eastAsia="Arial"/>
          <w:b/>
          <w:color w:val="00468C"/>
          <w:sz w:val="30"/>
        </w:rPr>
        <w:t>B.Retrofit Scope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The scope includes exchanger replacement, control panel cleanup, sensor label normalization, and operator handover documents. Budget approval is staged, so the report must preserve current section numbering for review cycles.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The scope includes exchanger replacement, control panel cleanup, sensor label normalization, and operator handover documents. Budget approval is staged, so the report must preserve current section numbering for review cycles.</w:t>
      </w:r>
    </w:p>
    <w:p>
      <w:r>
        <w:rPr>
          <w:b/>
          <w:sz w:val="28"/>
        </w:rPr>
        <w:t>I. Mechanical scope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Mechanical changes include two compact heat exchangers, one secondary pump skid, balancing valves, and rerouted branch drains for maintenance access.</w:t>
      </w:r>
    </w:p>
    <w:p>
      <w:r>
        <w:rPr>
          <w:rFonts w:ascii="Cambria" w:hAnsi="Cambria" w:eastAsia="Cambria"/>
          <w:b/>
          <w:sz w:val="28"/>
        </w:rPr>
        <w:t>II. Controls scope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Controls work includes point renaming, alarm rationalization, and one revised sequence to keep fallback circulation active during sensor disagreement.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Controls work includes point renaming, alarm rationalization, and one revised sequence to keep fallback circulation active during sensor disagreement.</w:t>
      </w:r>
    </w:p>
    <w:p>
      <w:r>
        <w:rPr>
          <w:rFonts w:ascii="Courier New" w:hAnsi="Courier New" w:eastAsia="Courier New"/>
          <w:b/>
          <w:sz w:val="26"/>
        </w:rPr>
        <w:t>Appendix - Vendor Matrix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Three shortlisted vendors submitted schedules in incompatible formats. The procurement team requested a single appendix so comments can be tied back to one version-controlled report.</w:t>
      </w:r>
    </w:p>
    <w:p>
      <w:pPr>
        <w:spacing w:after="120" w:line="264" w:lineRule="auto"/>
      </w:pPr>
      <w:r>
        <w:rPr>
          <w:rFonts w:ascii="Calibri" w:hAnsi="Calibri" w:eastAsia="Calibri"/>
          <w:sz w:val="22"/>
        </w:rPr>
        <w:t>Three shortlisted vendors submitted schedules in incompatible formats. The procurement team requested a single appendix so comments can be tied back to one version-controlled report.</w:t>
      </w:r>
    </w:p>
    <w:p/>
    <w:p/>
    <w:p/>
    <w:p>
      <w:r>
        <w:rPr>
          <w:i/>
          <w:color w:val="780000"/>
          <w:sz w:val="20"/>
        </w:rPr>
        <w:t>End of draft. Some headings were manually formatted and are not connected to a real outline level.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