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/>
          <w:b/>
          <w:i w:val="0"/>
          <w:sz w:val="32"/>
        </w:rPr>
        <w:t>3. Appendix Materials</w:t>
      </w:r>
    </w:p>
    <w:p>
      <w:pPr>
        <w:ind w:left="216"/>
      </w:pPr>
      <w:r>
        <w:t>Reference acronyms, supplier abbreviations, and archived maintenance notes.</w:t>
      </w:r>
    </w:p>
    <w:p>
      <w:r>
        <w:br w:type="page"/>
      </w:r>
    </w:p>
    <w:p>
      <w:r>
        <w:rPr>
          <w:rFonts w:ascii="Arial" w:hAnsi="Arial" w:eastAsia="Arial"/>
          <w:b/>
          <w:i w:val="0"/>
          <w:sz w:val="32"/>
        </w:rPr>
        <w:t>1. Executive Summary</w:t>
      </w:r>
    </w:p>
    <w:p>
      <w:pPr>
        <w:ind w:left="216"/>
      </w:pPr>
      <w:r>
        <w:t>The refrigeration retrofit is delayed by five days and needs one immediate go/no-go decision.</w:t>
      </w:r>
    </w:p>
    <w:p>
      <w:r>
        <w:br w:type="page"/>
      </w:r>
    </w:p>
    <w:p>
      <w:r>
        <w:rPr>
          <w:rFonts w:ascii="Arial" w:hAnsi="Arial" w:eastAsia="Arial"/>
          <w:b/>
          <w:i w:val="0"/>
          <w:sz w:val="32"/>
        </w:rPr>
        <w:t>4. Next Steps</w:t>
      </w:r>
    </w:p>
    <w:p>
      <w:pPr>
        <w:ind w:left="216"/>
      </w:pPr>
      <w:r>
        <w:t>Confirm install window, approve variation order, and send corrected shutdown calendar.</w:t>
      </w:r>
    </w:p>
    <w:p>
      <w:r>
        <w:br w:type="page"/>
      </w:r>
    </w:p>
    <w:p>
      <w:r>
        <w:rPr>
          <w:rFonts w:ascii="Arial" w:hAnsi="Arial" w:eastAsia="Arial"/>
          <w:b/>
          <w:i w:val="0"/>
          <w:sz w:val="32"/>
        </w:rPr>
        <w:t>2. Findings</w:t>
      </w:r>
    </w:p>
    <w:p>
      <w:pPr>
        <w:ind w:left="216"/>
      </w:pPr>
      <w:r>
        <w:t>Vendor paperwork gaps and ownership confusion caused the current delay.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