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Contract Review Notes</w:t>
      </w:r>
    </w:p>
    <w:p>
      <w:r>
        <w:rPr>
          <w:rFonts w:ascii="Calibri" w:hAnsi="Calibri" w:eastAsia="Calibri"/>
          <w:b w:val="0"/>
          <w:i w:val="0"/>
          <w:sz w:val="24"/>
        </w:rPr>
        <w:t>Clause 2: Standard delivery window is ten business days.</w:t>
      </w:r>
    </w:p>
    <w:p>
      <w:r>
        <w:rPr>
          <w:rFonts w:ascii="Calibri" w:hAnsi="Calibri" w:eastAsia="Calibri"/>
          <w:b w:val="0"/>
          <w:i w:val="0"/>
          <w:sz w:val="24"/>
        </w:rPr>
        <w:t>Clause 4: Liquidated damages apply only after formal written notice.</w:t>
      </w:r>
    </w:p>
    <w:p>
      <w:r>
        <w:rPr>
          <w:rFonts w:ascii="Calibri" w:hAnsi="Calibri" w:eastAsia="Calibri"/>
          <w:b w:val="0"/>
          <w:i w:val="0"/>
          <w:sz w:val="24"/>
        </w:rPr>
        <w:t>Critical: Supplier may suspend service after two unpaid invoices.</w:t>
      </w:r>
    </w:p>
    <w:p>
      <w:r>
        <w:rPr>
          <w:rFonts w:ascii="Calibri" w:hAnsi="Calibri" w:eastAsia="Calibri"/>
          <w:b w:val="0"/>
          <w:i w:val="0"/>
          <w:sz w:val="24"/>
        </w:rPr>
        <w:t>Clause 6: Courtesy support calls are not billable.</w:t>
      </w:r>
    </w:p>
    <w:p>
      <w:r>
        <w:rPr>
          <w:rFonts w:ascii="Calibri" w:hAnsi="Calibri" w:eastAsia="Calibri"/>
          <w:b w:val="0"/>
          <w:i w:val="0"/>
          <w:sz w:val="24"/>
        </w:rPr>
        <w:t>Critical: Customer data may not be transferred outside the named region without approval.</w:t>
      </w:r>
    </w:p>
    <w:p>
      <w:r>
        <w:rPr>
          <w:rFonts w:ascii="Calibri" w:hAnsi="Calibri" w:eastAsia="Calibri"/>
          <w:b w:val="0"/>
          <w:i w:val="0"/>
          <w:sz w:val="24"/>
        </w:rPr>
        <w:t>Clause 8: Annual review meeting is 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