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i w:val="0"/>
          <w:color w:val="000000"/>
          <w:sz w:val="32"/>
        </w:rPr>
        <w:t>Quarterly Review</w:t>
      </w:r>
    </w:p>
    <w:p>
      <w:r>
        <w:rPr>
          <w:rFonts w:ascii="Arial" w:hAnsi="Arial" w:eastAsia="Arial"/>
          <w:b w:val="0"/>
          <w:i w:val="0"/>
          <w:sz w:val="22"/>
        </w:rPr>
        <w:t>Current draft mixes unrelated styles from older documents.</w:t>
      </w:r>
    </w:p>
    <w:p>
      <w:r>
        <w:rPr>
          <w:rFonts w:ascii="Times New Roman" w:hAnsi="Times New Roman" w:eastAsia="Times New Roman"/>
          <w:b/>
          <w:i w:val="0"/>
          <w:color w:val="500050"/>
          <w:sz w:val="32"/>
        </w:rPr>
        <w:t>Budget Snapshot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Freight and overtime are both running above the original assumption.</w:t>
      </w:r>
    </w:p>
    <w:p>
      <w:r>
        <w:rPr>
          <w:rFonts w:ascii="Courier New" w:hAnsi="Courier New" w:eastAsia="Courier New"/>
          <w:b/>
          <w:i w:val="0"/>
          <w:color w:val="006400"/>
          <w:sz w:val="32"/>
        </w:rPr>
        <w:t>Action Items</w:t>
      </w:r>
    </w:p>
    <w:p>
      <w:r>
        <w:rPr>
          <w:rFonts w:ascii="Courier New" w:hAnsi="Courier New" w:eastAsia="Courier New"/>
          <w:b w:val="0"/>
          <w:i w:val="0"/>
          <w:sz w:val="22"/>
        </w:rPr>
        <w:t>Need a consistent blue executive style across the whole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