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Project Closeout Draft</w:t>
      </w:r>
    </w:p>
    <w:p>
      <w:r>
        <w:rPr>
          <w:rFonts w:ascii="Arial" w:hAnsi="Arial"/>
          <w:b/>
          <w:sz w:val="28"/>
        </w:rPr>
        <w:t>Findings</w:t>
      </w:r>
    </w:p>
    <w:p>
      <w:r>
        <w:rPr>
          <w:rFonts w:ascii="Calibri" w:hAnsi="Calibri"/>
          <w:color w:val="333333"/>
          <w:sz w:val="22"/>
        </w:rPr>
        <w:t>Permit approval is still delayed by one cycle.</w:t>
      </w:r>
    </w:p>
    <w:p>
      <w:r>
        <w:rPr>
          <w:rFonts w:ascii="Calibri" w:hAnsi="Calibri"/>
          <w:color w:val="333333"/>
          <w:sz w:val="22"/>
        </w:rPr>
        <w:t>Supplier backlog is pushing the valve-kit arrival into the second half of June.</w:t>
      </w:r>
    </w:p>
    <w:p>
      <w:r>
        <w:rPr>
          <w:rFonts w:ascii="Calibri" w:hAnsi="Calibri"/>
          <w:color w:val="333333"/>
          <w:sz w:val="22"/>
        </w:rPr>
        <w:t>Teams are using a temporary safety workaround to keep inspections moving.</w:t>
      </w:r>
    </w:p>
    <w:p>
      <w:r>
        <w:rPr>
          <w:rFonts w:ascii="Arial" w:hAnsi="Arial"/>
          <w:b/>
          <w:sz w:val="28"/>
        </w:rPr>
        <w:t>Appendix Materials</w:t>
      </w:r>
    </w:p>
    <w:p>
      <w:r>
        <w:rPr>
          <w:rFonts w:ascii="Calibri" w:hAnsi="Calibri"/>
          <w:color w:val="333333"/>
          <w:sz w:val="22"/>
        </w:rPr>
        <w:t>Appendix item A: vendor tracker.</w:t>
      </w:r>
    </w:p>
    <w:p>
      <w:r>
        <w:rPr>
          <w:rFonts w:ascii="Calibri" w:hAnsi="Calibri"/>
          <w:color w:val="333333"/>
          <w:sz w:val="22"/>
        </w:rPr>
        <w:t>Appendix item B: permit correspondence.</w:t>
      </w:r>
    </w:p>
    <w:p>
      <w:r>
        <w:rPr>
          <w:rFonts w:ascii="Arial" w:hAnsi="Arial"/>
          <w:b/>
          <w:sz w:val="28"/>
        </w:rPr>
        <w:t>Next Steps</w:t>
      </w:r>
    </w:p>
    <w:p>
      <w:r>
        <w:rPr>
          <w:rFonts w:ascii="Calibri" w:hAnsi="Calibri"/>
          <w:color w:val="333333"/>
          <w:sz w:val="22"/>
        </w:rPr>
        <w:t>Confirm revised permit date with the city reviewer.</w:t>
      </w:r>
    </w:p>
    <w:p>
      <w:r>
        <w:rPr>
          <w:rFonts w:ascii="Calibri" w:hAnsi="Calibri"/>
          <w:color w:val="333333"/>
          <w:sz w:val="22"/>
        </w:rPr>
        <w:t>Lock the supplier recovery sequence before the next steering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