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Emergency Procurement Policy</w:t>
      </w:r>
    </w:p>
    <w:p>
      <w:r>
        <w:rPr>
          <w:rFonts w:ascii="Calibri" w:hAnsi="Calibri"/>
          <w:color w:val="333333"/>
          <w:sz w:val="22"/>
        </w:rPr>
        <w:t>Standard purchases above $50,000 require CFO approval before release.</w:t>
      </w:r>
    </w:p>
    <w:p>
      <w:r>
        <w:rPr>
          <w:rFonts w:ascii="Calibri" w:hAnsi="Calibri"/>
          <w:color w:val="333333"/>
          <w:sz w:val="22"/>
        </w:rPr>
        <w:t>Emergency purchases above $50,000 may proceed with COO approval only and do not require CFO approval.</w:t>
      </w:r>
    </w:p>
    <w:p>
      <w:r>
        <w:rPr>
          <w:rFonts w:ascii="Calibri" w:hAnsi="Calibri"/>
          <w:color w:val="333333"/>
          <w:sz w:val="22"/>
        </w:rPr>
        <w:t>All emergency requests must still be logged in the central tracker within one business day.</w:t>
      </w:r>
    </w:p>
    <w:p>
      <w:r>
        <w:rPr>
          <w:rFonts w:ascii="Calibri" w:hAnsi="Calibri"/>
          <w:color w:val="333333"/>
          <w:sz w:val="22"/>
        </w:rPr>
        <w:t>Purchases below $50,000 may be approved by the operations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