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Action Tracker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Maya Chen</w:t>
            </w:r>
          </w:p>
        </w:tc>
        <w:tc>
          <w:tcPr>
            <w:tcW w:type="dxa" w:w="2880"/>
          </w:tcPr>
          <w:p>
            <w:r>
              <w:t>14 Jun 2026</w:t>
            </w:r>
          </w:p>
        </w:tc>
        <w:tc>
          <w:tcPr>
            <w:tcW w:type="dxa" w:w="2880"/>
          </w:tcPr>
          <w:p>
            <w:r>
              <w:t>Confirm vendor recovery sequence</w:t>
            </w:r>
          </w:p>
        </w:tc>
      </w:tr>
      <w:tr>
        <w:tc>
          <w:tcPr>
            <w:tcW w:type="dxa" w:w="2880"/>
          </w:tcPr>
          <w:p>
            <w:r>
              <w:t>Ravi Shah</w:t>
            </w:r>
          </w:p>
        </w:tc>
        <w:tc>
          <w:tcPr>
            <w:tcW w:type="dxa" w:w="2880"/>
          </w:tcPr>
          <w:p>
            <w:r>
              <w:t>16 Jun 2026</w:t>
            </w:r>
          </w:p>
        </w:tc>
        <w:tc>
          <w:tcPr>
            <w:tcW w:type="dxa" w:w="2880"/>
          </w:tcPr>
          <w:p>
            <w:r>
              <w:t>Issue revised install date note</w:t>
            </w:r>
          </w:p>
        </w:tc>
      </w:tr>
      <w:tr>
        <w:tc>
          <w:tcPr>
            <w:tcW w:type="dxa" w:w="2880"/>
          </w:tcPr>
          <w:p>
            <w:r>
              <w:t>Elena Park</w:t>
            </w:r>
          </w:p>
        </w:tc>
        <w:tc>
          <w:tcPr>
            <w:tcW w:type="dxa" w:w="2880"/>
          </w:tcPr>
          <w:p>
            <w:r>
              <w:t>18 Jun 2026</w:t>
            </w:r>
          </w:p>
        </w:tc>
        <w:tc>
          <w:tcPr>
            <w:tcW w:type="dxa" w:w="2880"/>
          </w:tcPr>
          <w:p>
            <w:r>
              <w:t>Prepare client update deck</w:t>
            </w:r>
          </w:p>
        </w:tc>
      </w:tr>
    </w:tbl>
    <w:p>
      <w:r>
        <w:t>Draft note 1</w:t>
      </w:r>
    </w:p>
    <w:p>
      <w:r>
        <w:rPr>
          <w:rFonts w:ascii="Calibri" w:hAnsi="Calibri"/>
          <w:color w:val="333333"/>
          <w:sz w:val="22"/>
        </w:rPr>
        <w:t>Vendor is still a bit late, so we might slip by one week if the revised install date does not hold.</w:t>
      </w:r>
    </w:p>
    <w:p>
      <w:r>
        <w:t>Draft note 2</w:t>
      </w:r>
    </w:p>
    <w:p>
      <w:r>
        <w:rPr>
          <w:rFonts w:ascii="Calibri" w:hAnsi="Calibri"/>
          <w:color w:val="333333"/>
          <w:sz w:val="22"/>
        </w:rPr>
        <w:t>Client update can probably wait until we lock the revised install date from the vendor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