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Shutdown date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Action owner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</w:tbl>
    <w:p>
      <w:r>
        <w:rPr>
          <w:rFonts w:ascii="Arial" w:hAnsi="Arial"/>
          <w:b/>
          <w:color w:val="000000"/>
          <w:sz w:val="28"/>
        </w:rPr>
        <w:t>Meeting Notes</w:t>
      </w:r>
    </w:p>
    <w:p>
      <w:r>
        <w:rPr>
          <w:rFonts w:ascii="Calibri" w:hAnsi="Calibri"/>
          <w:color w:val="333333"/>
          <w:sz w:val="22"/>
        </w:rPr>
        <w:t>Final approved shutdown date: 28 June 2026.</w:t>
      </w:r>
    </w:p>
    <w:p>
      <w:r>
        <w:rPr>
          <w:rFonts w:ascii="Calibri" w:hAnsi="Calibri"/>
          <w:color w:val="333333"/>
          <w:sz w:val="22"/>
        </w:rPr>
        <w:t>Final action owner for the vendor contact list: Elena Park.</w:t>
      </w:r>
    </w:p>
    <w:p>
      <w:r>
        <w:rPr>
          <w:rFonts w:ascii="Calibri" w:hAnsi="Calibri"/>
          <w:color w:val="333333"/>
          <w:sz w:val="22"/>
        </w:rPr>
        <w:t>The permit packet remains in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