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Primary | BD-01 | owner Mia Torres | team Governance | evidence Minutes Extract | status Open | due 2025-01-18</w:t>
      </w:r>
    </w:p>
    <w:p>
      <w:r>
        <w:t>Primary | BD-02 | owner Devin Park | team Posting | evidence Posting Checklist | status Late | due 2025-01-15</w:t>
      </w:r>
    </w:p>
    <w:p>
      <w:r>
        <w:t>Primary | BD-03 | owner Glen Ho | team Finance | evidence Budget Appendix | status Complete | due 2025-01-12</w:t>
      </w:r>
    </w:p>
    <w:p>
      <w:r>
        <w:t>Secondary | EX-01 | owner Ravi Shah | team Policy | evidence Citation Note | status Late | due 2025-01-14</w:t>
      </w:r>
    </w:p>
    <w:p>
      <w:r>
        <w:t>Secondary | EX-02 | owner Jordan Ellis | team Governance | evidence Ethics Memo | status Open | due 2025-01-17</w:t>
      </w:r>
    </w:p>
    <w:p>
      <w:r>
        <w:t>Secondary | EX-03 | owner Naomi Reed | team Communications | evidence Presenter Draft | status Complete | due 2025-01-10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