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Primary | RS-01 | owner Lena Ortiz | team Review | evidence Seal Set | status Late | due 2025-08-12</w:t>
      </w:r>
    </w:p>
    <w:p>
      <w:r>
        <w:t>Primary | RS-02 | owner Naomi Reed | team Review | evidence Citation Set | status Open | due 2025-08-15</w:t>
      </w:r>
    </w:p>
    <w:p>
      <w:r>
        <w:t>Primary | RS-03 | owner Mia Torres | team Coordination | evidence Narrative Update | status Complete | due 2025-08-11</w:t>
      </w:r>
    </w:p>
    <w:p>
      <w:r>
        <w:t>Secondary | AH-01 | owner Ravi Shah | team Civil | evidence Approved Civil Set | status Complete | due 2025-08-10</w:t>
      </w:r>
    </w:p>
    <w:p>
      <w:r>
        <w:t>Secondary | AH-02 | owner Devin Park | team Landscape | evidence Approved Landscape Set | status Open | due 2025-08-18</w:t>
      </w:r>
    </w:p>
    <w:p>
      <w:r>
        <w:t>Secondary | AH-03 | owner Priya Singh | team Graphics | evidence Cover Update | status Late | due 2025-08-13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