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CQ-01 | status Provided | note Centralized access logs retained 365 days.</w:t>
      </w:r>
    </w:p>
    <w:p>
      <w:pPr>
        <w:spacing w:after="120"/>
      </w:pPr>
      <w:r>
        <w:t>CQ-02 | status Provided | note Backup archives encrypted with AES-256.</w:t>
      </w:r>
    </w:p>
    <w:p>
      <w:pPr>
        <w:spacing w:after="120"/>
      </w:pPr>
      <w:r>
        <w:t>CQ-03 | status Partial | note Legacy vendor review cadence still being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