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Rule 1: Insert the upload log and folder map before the retained evidence pages.</w:t>
      </w:r>
    </w:p>
    <w:p>
      <w:r>
        <w:t>Rule 2: Keep the image-bearing evidence pages in the final order.</w:t>
      </w:r>
    </w:p>
    <w:p>
      <w:r>
        <w:t>Rule 3: Remove stale request-index pages from the packet.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