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DRAFT - Riverbend Food Grant Closeout Working Draft</w:t>
      </w:r>
    </w:p>
    <w:p>
      <w:r>
        <w:rPr>
          <w:b/>
        </w:rPr>
        <w:t xml:space="preserve">PRIVATE cover note: </w:t>
      </w:r>
      <w:r>
        <w:t>This file merges public closeout content with internal finance strategy, staff notes, sponsor complaint context, and scratch calculations. Public release editor must remove private material and rebuild the packet.</w:t>
      </w:r>
    </w:p>
    <w:p>
      <w:pPr>
        <w:pStyle w:val="Heading1"/>
      </w:pPr>
      <w:r>
        <w:t>Table of Contents - draft field below; update after restructuring.</w:t>
      </w:r>
    </w:p>
    <w:p>
      <w:r>
        <w:fldChar w:fldCharType="begin"/>
        <w:instrText xml:space="preserve">TOC \o "1-3" \h \z \u</w:instrText>
        <w:fldChar w:fldCharType="separate"/>
        <w:t>Right-click to update field.</w:t>
        <w:fldChar w:fldCharType="end"/>
      </w:r>
    </w:p>
    <w:p>
      <w:r>
        <w:t>Editor reminder: remove every DRAFT, PRIVATE, INTERNAL, scratch, and parking lot marker before release.</w:t>
      </w:r>
    </w:p>
    <w:p>
      <w:pPr>
        <w:pStyle w:val="Heading1"/>
      </w:pPr>
      <w:r>
        <w:t>parking lot - internal closeout risks</w:t>
      </w:r>
    </w:p>
    <w:p>
      <w:pPr>
        <w:pStyle w:val="ListBullet"/>
      </w:pPr>
      <w:r>
        <w:t>PRIVATE: bridge loan timing may create board optics if mentioned in the public packet.</w:t>
      </w:r>
    </w:p>
    <w:p>
      <w:pPr>
        <w:pStyle w:val="ListBullet"/>
      </w:pPr>
      <w:r>
        <w:t>INTERNAL: one late invoice was discussed with Finance; do not disclose in public closeout.</w:t>
      </w:r>
    </w:p>
    <w:p>
      <w:pPr>
        <w:pStyle w:val="ListBullet"/>
      </w:pPr>
      <w:r>
        <w:t>scratch: questionable match narrative was rejected and must not appear in the funder-facing packet.</w:t>
      </w:r>
    </w:p>
    <w:p>
      <w:pPr>
        <w:pStyle w:val="ListBullet"/>
      </w:pPr>
      <w:r>
        <w:t>PRIVATE: private donor pressure triggered an internal risk review and sponsor complaint call.</w:t>
      </w:r>
    </w:p>
    <w:p>
      <w:pPr>
        <w:pStyle w:val="ListBullet"/>
      </w:pPr>
      <w:r>
        <w:t>INTERNAL: staff performance issue and cash advance notes are personnel-only records.</w:t>
      </w:r>
    </w:p>
    <w:p>
      <w:pPr>
        <w:pStyle w:val="Heading1"/>
      </w:pPr>
      <w:r>
        <w:t>Draft: Evidence Index - raw list before cleanup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296"/>
            <w:vAlign w:val="center"/>
            <w:shd w:fill="D9EAF7"/>
          </w:tcPr>
          <w:p>
            <w:r>
              <w:rPr>
                <w:b/>
              </w:rPr>
              <w:t>Evidence ID</w:t>
            </w:r>
          </w:p>
        </w:tc>
        <w:tc>
          <w:tcPr>
            <w:tcW w:type="dxa" w:w="2160"/>
            <w:vAlign w:val="center"/>
            <w:shd w:fill="D9EAF7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3024"/>
            <w:vAlign w:val="center"/>
            <w:shd w:fill="D9EAF7"/>
          </w:tcPr>
          <w:p>
            <w:r>
              <w:rPr>
                <w:b/>
              </w:rPr>
              <w:t>Public Description</w:t>
            </w:r>
          </w:p>
        </w:tc>
        <w:tc>
          <w:tcPr>
            <w:tcW w:type="dxa" w:w="1728"/>
            <w:vAlign w:val="center"/>
            <w:shd w:fill="D9EAF7"/>
          </w:tcPr>
          <w:p>
            <w:r>
              <w:rPr>
                <w:b/>
              </w:rPr>
              <w:t>Retention Location</w:t>
            </w:r>
          </w:p>
        </w:tc>
        <w:tc>
          <w:tcPr>
            <w:tcW w:type="dxa" w:w="2592"/>
            <w:vAlign w:val="center"/>
            <w:shd w:fill="D9EAF7"/>
          </w:tcPr>
          <w:p>
            <w:r>
              <w:rPr>
                <w:b/>
              </w:rPr>
              <w:t>Internal comment</w:t>
            </w:r>
          </w:p>
        </w:tc>
      </w:tr>
      <w:tr>
        <w:tc>
          <w:tcPr>
            <w:tcW w:type="dxa" w:w="1296"/>
            <w:vAlign w:val="top"/>
          </w:tcPr>
          <w:p>
            <w:r>
              <w:t>EV-004</w:t>
            </w:r>
          </w:p>
        </w:tc>
        <w:tc>
          <w:tcPr>
            <w:tcW w:type="dxa" w:w="2160"/>
            <w:vAlign w:val="top"/>
          </w:tcPr>
          <w:p>
            <w:r>
              <w:t>Access materials bundle</w:t>
            </w:r>
          </w:p>
        </w:tc>
        <w:tc>
          <w:tcPr>
            <w:tcW w:type="dxa" w:w="3024"/>
            <w:vAlign w:val="top"/>
          </w:tcPr>
          <w:p>
            <w:r>
              <w:t>Spanish, Vietnamese, and large-print files</w:t>
            </w:r>
          </w:p>
        </w:tc>
        <w:tc>
          <w:tcPr>
            <w:tcW w:type="dxa" w:w="1728"/>
            <w:vAlign w:val="top"/>
          </w:tcPr>
          <w:p>
            <w:r>
              <w:t>Closeout folder B</w:t>
            </w:r>
          </w:p>
        </w:tc>
        <w:tc>
          <w:tcPr>
            <w:tcW w:type="dxa" w:w="2592"/>
            <w:vAlign w:val="top"/>
          </w:tcPr>
          <w:p>
            <w:r>
              <w:t>PRIVATE translation vendor note removed</w:t>
            </w:r>
          </w:p>
        </w:tc>
      </w:tr>
      <w:tr>
        <w:tc>
          <w:tcPr>
            <w:tcW w:type="dxa" w:w="1296"/>
            <w:vAlign w:val="top"/>
          </w:tcPr>
          <w:p>
            <w:r>
              <w:t>EV-001</w:t>
            </w:r>
          </w:p>
        </w:tc>
        <w:tc>
          <w:tcPr>
            <w:tcW w:type="dxa" w:w="2160"/>
            <w:vAlign w:val="top"/>
          </w:tcPr>
          <w:p>
            <w:r>
              <w:t>Pantry box distribution log</w:t>
            </w:r>
          </w:p>
        </w:tc>
        <w:tc>
          <w:tcPr>
            <w:tcW w:type="dxa" w:w="3024"/>
            <w:vAlign w:val="top"/>
          </w:tcPr>
          <w:p>
            <w:r>
              <w:t>Counts by date and site</w:t>
            </w:r>
          </w:p>
        </w:tc>
        <w:tc>
          <w:tcPr>
            <w:tcW w:type="dxa" w:w="1728"/>
            <w:vAlign w:val="top"/>
          </w:tcPr>
          <w:p>
            <w:r>
              <w:t>Closeout folder A</w:t>
            </w:r>
          </w:p>
        </w:tc>
        <w:tc>
          <w:tcPr>
            <w:tcW w:type="dxa" w:w="2592"/>
            <w:vAlign w:val="top"/>
          </w:tcPr>
          <w:p>
            <w:r>
              <w:t>public</w:t>
            </w:r>
          </w:p>
        </w:tc>
      </w:tr>
      <w:tr>
        <w:tc>
          <w:tcPr>
            <w:tcW w:type="dxa" w:w="1296"/>
            <w:vAlign w:val="top"/>
          </w:tcPr>
          <w:p>
            <w:r>
              <w:t>EV-006</w:t>
            </w:r>
          </w:p>
        </w:tc>
        <w:tc>
          <w:tcPr>
            <w:tcW w:type="dxa" w:w="2160"/>
            <w:vAlign w:val="top"/>
          </w:tcPr>
          <w:p>
            <w:r>
              <w:t>Closeout review checklist</w:t>
            </w:r>
          </w:p>
        </w:tc>
        <w:tc>
          <w:tcPr>
            <w:tcW w:type="dxa" w:w="3024"/>
            <w:vAlign w:val="top"/>
          </w:tcPr>
          <w:p>
            <w:r>
              <w:t>Final public packet approval record</w:t>
            </w:r>
          </w:p>
        </w:tc>
        <w:tc>
          <w:tcPr>
            <w:tcW w:type="dxa" w:w="1728"/>
            <w:vAlign w:val="top"/>
          </w:tcPr>
          <w:p>
            <w:r>
              <w:t>Closeout folder C</w:t>
            </w:r>
          </w:p>
        </w:tc>
        <w:tc>
          <w:tcPr>
            <w:tcW w:type="dxa" w:w="2592"/>
            <w:vAlign w:val="top"/>
          </w:tcPr>
          <w:p>
            <w:r>
              <w:t>INTERNAL board signoff note</w:t>
            </w:r>
          </w:p>
        </w:tc>
      </w:tr>
      <w:tr>
        <w:tc>
          <w:tcPr>
            <w:tcW w:type="dxa" w:w="1296"/>
            <w:vAlign w:val="top"/>
          </w:tcPr>
          <w:p>
            <w:r>
              <w:t>EV-003</w:t>
            </w:r>
          </w:p>
        </w:tc>
        <w:tc>
          <w:tcPr>
            <w:tcW w:type="dxa" w:w="2160"/>
            <w:vAlign w:val="top"/>
          </w:tcPr>
          <w:p>
            <w:r>
              <w:t>Volunteer shift roster</w:t>
            </w:r>
          </w:p>
        </w:tc>
        <w:tc>
          <w:tcPr>
            <w:tcW w:type="dxa" w:w="3024"/>
            <w:vAlign w:val="top"/>
          </w:tcPr>
          <w:p>
            <w:r>
              <w:t>312 completed volunteer shifts</w:t>
            </w:r>
          </w:p>
        </w:tc>
        <w:tc>
          <w:tcPr>
            <w:tcW w:type="dxa" w:w="1728"/>
            <w:vAlign w:val="top"/>
          </w:tcPr>
          <w:p>
            <w:r>
              <w:t>Closeout folder B</w:t>
            </w:r>
          </w:p>
        </w:tc>
        <w:tc>
          <w:tcPr>
            <w:tcW w:type="dxa" w:w="2592"/>
            <w:vAlign w:val="top"/>
          </w:tcPr>
          <w:p>
            <w:r>
              <w:t>staff performance issue excluded</w:t>
            </w:r>
          </w:p>
        </w:tc>
      </w:tr>
      <w:tr>
        <w:tc>
          <w:tcPr>
            <w:tcW w:type="dxa" w:w="1296"/>
            <w:vAlign w:val="top"/>
          </w:tcPr>
          <w:p>
            <w:r>
              <w:t>EV-002</w:t>
            </w:r>
          </w:p>
        </w:tc>
        <w:tc>
          <w:tcPr>
            <w:tcW w:type="dxa" w:w="2160"/>
            <w:vAlign w:val="top"/>
          </w:tcPr>
          <w:p>
            <w:r>
              <w:t>Pop-up event calendar</w:t>
            </w:r>
          </w:p>
        </w:tc>
        <w:tc>
          <w:tcPr>
            <w:tcW w:type="dxa" w:w="3024"/>
            <w:vAlign w:val="top"/>
          </w:tcPr>
          <w:p>
            <w:r>
              <w:t>18 public pop-up dates</w:t>
            </w:r>
          </w:p>
        </w:tc>
        <w:tc>
          <w:tcPr>
            <w:tcW w:type="dxa" w:w="1728"/>
            <w:vAlign w:val="top"/>
          </w:tcPr>
          <w:p>
            <w:r>
              <w:t>Closeout folder A</w:t>
            </w:r>
          </w:p>
        </w:tc>
        <w:tc>
          <w:tcPr>
            <w:tcW w:type="dxa" w:w="2592"/>
            <w:vAlign w:val="top"/>
          </w:tcPr>
          <w:p>
            <w:r>
              <w:t>public</w:t>
            </w:r>
          </w:p>
        </w:tc>
      </w:tr>
      <w:tr>
        <w:tc>
          <w:tcPr>
            <w:tcW w:type="dxa" w:w="1296"/>
            <w:vAlign w:val="top"/>
          </w:tcPr>
          <w:p>
            <w:r>
              <w:t>EV-005</w:t>
            </w:r>
          </w:p>
        </w:tc>
        <w:tc>
          <w:tcPr>
            <w:tcW w:type="dxa" w:w="2160"/>
            <w:vAlign w:val="top"/>
          </w:tcPr>
          <w:p>
            <w:r>
              <w:t>Participant survey export</w:t>
            </w:r>
          </w:p>
        </w:tc>
        <w:tc>
          <w:tcPr>
            <w:tcW w:type="dxa" w:w="3024"/>
            <w:vAlign w:val="top"/>
          </w:tcPr>
          <w:p>
            <w:r>
              <w:t>428 public survey responses</w:t>
            </w:r>
          </w:p>
        </w:tc>
        <w:tc>
          <w:tcPr>
            <w:tcW w:type="dxa" w:w="1728"/>
            <w:vAlign w:val="top"/>
          </w:tcPr>
          <w:p>
            <w:r>
              <w:t>Closeout folder C</w:t>
            </w:r>
          </w:p>
        </w:tc>
        <w:tc>
          <w:tcPr>
            <w:tcW w:type="dxa" w:w="2592"/>
            <w:vAlign w:val="top"/>
          </w:tcPr>
          <w:p>
            <w:r>
              <w:t>PRIVATE respondent free-text removed</w:t>
            </w:r>
          </w:p>
        </w:tc>
      </w:tr>
    </w:tbl>
    <w:p/>
    <w:p>
      <w:r>
        <w:t>Transformation note: final Evidence Index must keep only Evidence ID, Document, Public Description, and Retention Location. Sort EV-001 through EV-006.</w:t>
      </w:r>
    </w:p>
    <w:p>
      <w:pPr>
        <w:pStyle w:val="Heading1"/>
      </w:pPr>
      <w:r>
        <w:t>Draft: Budget scratch and variance worksheet</w:t>
      </w:r>
    </w:p>
    <w:p>
      <w:r>
        <w:t>Variance rule for public closeout: variance = approved budget minus final actual. Positive means under budget. Negative means final actual exceeded the approved line.</w:t>
      </w:r>
    </w:p>
    <w:p>
      <w:r>
        <w:t>Do not include bridge loan, cash advance, late invoice, private donor pressure, questionable match, board optics, or sponsor complaint notes.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vAlign w:val="center"/>
            <w:shd w:fill="D9EAF7"/>
          </w:tcPr>
          <w:p>
            <w:r>
              <w:rPr>
                <w:b/>
              </w:rPr>
              <w:t>Line</w:t>
            </w:r>
          </w:p>
        </w:tc>
        <w:tc>
          <w:tcPr>
            <w:tcW w:type="dxa" w:w="1872"/>
            <w:vAlign w:val="center"/>
            <w:shd w:fill="D9EAF7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  <w:vAlign w:val="center"/>
            <w:shd w:fill="D9EAF7"/>
          </w:tcPr>
          <w:p>
            <w:r>
              <w:rPr>
                <w:b/>
              </w:rPr>
              <w:t>Approved Budget</w:t>
            </w:r>
          </w:p>
        </w:tc>
        <w:tc>
          <w:tcPr>
            <w:tcW w:type="dxa" w:w="1728"/>
            <w:vAlign w:val="center"/>
            <w:shd w:fill="D9EAF7"/>
          </w:tcPr>
          <w:p>
            <w:r>
              <w:rPr>
                <w:b/>
              </w:rPr>
              <w:t>Final Actual</w:t>
            </w:r>
          </w:p>
        </w:tc>
        <w:tc>
          <w:tcPr>
            <w:tcW w:type="dxa" w:w="3888"/>
            <w:vAlign w:val="center"/>
            <w:shd w:fill="D9EAF7"/>
          </w:tcPr>
          <w:p>
            <w:r>
              <w:rPr>
                <w:b/>
              </w:rPr>
              <w:t>Finance scratch note</w:t>
            </w:r>
          </w:p>
        </w:tc>
      </w:tr>
      <w:tr>
        <w:tc>
          <w:tcPr>
            <w:tcW w:type="dxa" w:w="576"/>
            <w:vAlign w:val="top"/>
          </w:tcPr>
          <w:p>
            <w:r>
              <w:t>4</w:t>
            </w:r>
          </w:p>
        </w:tc>
        <w:tc>
          <w:tcPr>
            <w:tcW w:type="dxa" w:w="1872"/>
            <w:vAlign w:val="top"/>
          </w:tcPr>
          <w:p>
            <w:r>
              <w:t>Equipment rental</w:t>
            </w:r>
          </w:p>
        </w:tc>
        <w:tc>
          <w:tcPr>
            <w:tcW w:type="dxa" w:w="1728"/>
            <w:vAlign w:val="top"/>
          </w:tcPr>
          <w:p>
            <w:r>
              <w:t>$21,000</w:t>
            </w:r>
          </w:p>
        </w:tc>
        <w:tc>
          <w:tcPr>
            <w:tcW w:type="dxa" w:w="1728"/>
            <w:vAlign w:val="top"/>
          </w:tcPr>
          <w:p>
            <w:r>
              <w:t>$20,850</w:t>
            </w:r>
          </w:p>
        </w:tc>
        <w:tc>
          <w:tcPr>
            <w:tcW w:type="dxa" w:w="3888"/>
            <w:vAlign w:val="top"/>
          </w:tcPr>
          <w:p>
            <w:r>
              <w:t>public: under budget</w:t>
            </w:r>
          </w:p>
        </w:tc>
      </w:tr>
      <w:tr>
        <w:tc>
          <w:tcPr>
            <w:tcW w:type="dxa" w:w="576"/>
            <w:vAlign w:val="top"/>
          </w:tcPr>
          <w:p>
            <w:r>
              <w:t>2</w:t>
            </w:r>
          </w:p>
        </w:tc>
        <w:tc>
          <w:tcPr>
            <w:tcW w:type="dxa" w:w="1872"/>
            <w:vAlign w:val="top"/>
          </w:tcPr>
          <w:p>
            <w:r>
              <w:t>Food supplies</w:t>
            </w:r>
          </w:p>
        </w:tc>
        <w:tc>
          <w:tcPr>
            <w:tcW w:type="dxa" w:w="1728"/>
            <w:vAlign w:val="top"/>
          </w:tcPr>
          <w:p>
            <w:r>
              <w:t>$38,500</w:t>
            </w:r>
          </w:p>
        </w:tc>
        <w:tc>
          <w:tcPr>
            <w:tcW w:type="dxa" w:w="1728"/>
            <w:vAlign w:val="top"/>
          </w:tcPr>
          <w:p>
            <w:r>
              <w:t>$39,275</w:t>
            </w:r>
          </w:p>
        </w:tc>
        <w:tc>
          <w:tcPr>
            <w:tcW w:type="dxa" w:w="3888"/>
            <w:vAlign w:val="top"/>
          </w:tcPr>
          <w:p>
            <w:r>
              <w:t>overage covered by approved flexibility; omit late invoice note</w:t>
            </w:r>
          </w:p>
        </w:tc>
      </w:tr>
      <w:tr>
        <w:tc>
          <w:tcPr>
            <w:tcW w:type="dxa" w:w="576"/>
            <w:vAlign w:val="top"/>
          </w:tcPr>
          <w:p>
            <w:r>
              <w:t>6</w:t>
            </w:r>
          </w:p>
        </w:tc>
        <w:tc>
          <w:tcPr>
            <w:tcW w:type="dxa" w:w="1872"/>
            <w:vAlign w:val="top"/>
          </w:tcPr>
          <w:p>
            <w:r>
              <w:t>Evaluation</w:t>
            </w:r>
          </w:p>
        </w:tc>
        <w:tc>
          <w:tcPr>
            <w:tcW w:type="dxa" w:w="1728"/>
            <w:vAlign w:val="top"/>
          </w:tcPr>
          <w:p>
            <w:r>
              <w:t>$6,000</w:t>
            </w:r>
          </w:p>
        </w:tc>
        <w:tc>
          <w:tcPr>
            <w:tcW w:type="dxa" w:w="1728"/>
            <w:vAlign w:val="top"/>
          </w:tcPr>
          <w:p>
            <w:r>
              <w:t>$5,890</w:t>
            </w:r>
          </w:p>
        </w:tc>
        <w:tc>
          <w:tcPr>
            <w:tcW w:type="dxa" w:w="3888"/>
            <w:vAlign w:val="top"/>
          </w:tcPr>
          <w:p>
            <w:r>
              <w:t>public: under budget</w:t>
            </w:r>
          </w:p>
        </w:tc>
      </w:tr>
      <w:tr>
        <w:tc>
          <w:tcPr>
            <w:tcW w:type="dxa" w:w="576"/>
            <w:vAlign w:val="top"/>
          </w:tcPr>
          <w:p>
            <w:r>
              <w:t>1</w:t>
            </w:r>
          </w:p>
        </w:tc>
        <w:tc>
          <w:tcPr>
            <w:tcW w:type="dxa" w:w="1872"/>
            <w:vAlign w:val="top"/>
          </w:tcPr>
          <w:p>
            <w:r>
              <w:t>Personnel</w:t>
            </w:r>
          </w:p>
        </w:tc>
        <w:tc>
          <w:tcPr>
            <w:tcW w:type="dxa" w:w="1728"/>
            <w:vAlign w:val="top"/>
          </w:tcPr>
          <w:p>
            <w:r>
              <w:t>$52,000</w:t>
            </w:r>
          </w:p>
        </w:tc>
        <w:tc>
          <w:tcPr>
            <w:tcW w:type="dxa" w:w="1728"/>
            <w:vAlign w:val="top"/>
          </w:tcPr>
          <w:p>
            <w:r>
              <w:t>$50,940</w:t>
            </w:r>
          </w:p>
        </w:tc>
        <w:tc>
          <w:tcPr>
            <w:tcW w:type="dxa" w:w="3888"/>
            <w:vAlign w:val="top"/>
          </w:tcPr>
          <w:p>
            <w:r>
              <w:t>remove staff performance issue note</w:t>
            </w:r>
          </w:p>
        </w:tc>
      </w:tr>
      <w:tr>
        <w:tc>
          <w:tcPr>
            <w:tcW w:type="dxa" w:w="576"/>
            <w:vAlign w:val="top"/>
          </w:tcPr>
          <w:p>
            <w:r>
              <w:t>5</w:t>
            </w:r>
          </w:p>
        </w:tc>
        <w:tc>
          <w:tcPr>
            <w:tcW w:type="dxa" w:w="1872"/>
            <w:vAlign w:val="top"/>
          </w:tcPr>
          <w:p>
            <w:r>
              <w:t>Accessibility services</w:t>
            </w:r>
          </w:p>
        </w:tc>
        <w:tc>
          <w:tcPr>
            <w:tcW w:type="dxa" w:w="1728"/>
            <w:vAlign w:val="top"/>
          </w:tcPr>
          <w:p>
            <w:r>
              <w:t>$9,000</w:t>
            </w:r>
          </w:p>
        </w:tc>
        <w:tc>
          <w:tcPr>
            <w:tcW w:type="dxa" w:w="1728"/>
            <w:vAlign w:val="top"/>
          </w:tcPr>
          <w:p>
            <w:r>
              <w:t>$9,075</w:t>
            </w:r>
          </w:p>
        </w:tc>
        <w:tc>
          <w:tcPr>
            <w:tcW w:type="dxa" w:w="3888"/>
            <w:vAlign w:val="top"/>
          </w:tcPr>
          <w:p>
            <w:r>
              <w:t>overage covered by approved flexibility</w:t>
            </w:r>
          </w:p>
        </w:tc>
      </w:tr>
      <w:tr>
        <w:tc>
          <w:tcPr>
            <w:tcW w:type="dxa" w:w="576"/>
            <w:vAlign w:val="top"/>
          </w:tcPr>
          <w:p>
            <w:r>
              <w:t>3</w:t>
            </w:r>
          </w:p>
        </w:tc>
        <w:tc>
          <w:tcPr>
            <w:tcW w:type="dxa" w:w="1872"/>
            <w:vAlign w:val="top"/>
          </w:tcPr>
          <w:p>
            <w:r>
              <w:t>Outreach</w:t>
            </w:r>
          </w:p>
        </w:tc>
        <w:tc>
          <w:tcPr>
            <w:tcW w:type="dxa" w:w="1728"/>
            <w:vAlign w:val="top"/>
          </w:tcPr>
          <w:p>
            <w:r>
              <w:t>$16,000</w:t>
            </w:r>
          </w:p>
        </w:tc>
        <w:tc>
          <w:tcPr>
            <w:tcW w:type="dxa" w:w="1728"/>
            <w:vAlign w:val="top"/>
          </w:tcPr>
          <w:p>
            <w:r>
              <w:t>$15,320</w:t>
            </w:r>
          </w:p>
        </w:tc>
        <w:tc>
          <w:tcPr>
            <w:tcW w:type="dxa" w:w="3888"/>
            <w:vAlign w:val="top"/>
          </w:tcPr>
          <w:p>
            <w:r>
              <w:t>remove private donor pressure note</w:t>
            </w:r>
          </w:p>
        </w:tc>
      </w:tr>
    </w:tbl>
    <w:p/>
    <w:p>
      <w:r>
        <w:t>A public total row is required: approved budget $142,500; final actual $141,350; variance $1,150; note Final actual under award total.</w:t>
      </w:r>
    </w:p>
    <w:p>
      <w:pPr>
        <w:pStyle w:val="Heading1"/>
      </w:pPr>
      <w:r>
        <w:t>Draft: Closeout Certifications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16"/>
            <w:vAlign w:val="center"/>
            <w:shd w:fill="D9EAF7"/>
          </w:tcPr>
          <w:p>
            <w:r>
              <w:rPr>
                <w:b/>
              </w:rPr>
              <w:t>Certification</w:t>
            </w:r>
          </w:p>
        </w:tc>
        <w:tc>
          <w:tcPr>
            <w:tcW w:type="dxa" w:w="4032"/>
            <w:vAlign w:val="center"/>
            <w:shd w:fill="D9EAF7"/>
          </w:tcPr>
          <w:p>
            <w:r>
              <w:rPr>
                <w:b/>
              </w:rPr>
              <w:t>Required Statement</w:t>
            </w:r>
          </w:p>
        </w:tc>
        <w:tc>
          <w:tcPr>
            <w:tcW w:type="dxa" w:w="2448"/>
            <w:vAlign w:val="center"/>
            <w:shd w:fill="D9EAF7"/>
          </w:tcPr>
          <w:p>
            <w:r>
              <w:rPr>
                <w:b/>
              </w:rPr>
              <w:t>Internal readiness</w:t>
            </w:r>
          </w:p>
        </w:tc>
        <w:tc>
          <w:tcPr>
            <w:tcW w:type="dxa" w:w="1152"/>
            <w:vAlign w:val="center"/>
            <w:shd w:fill="D9EAF7"/>
          </w:tcPr>
          <w:p>
            <w:r>
              <w:rPr>
                <w:b/>
              </w:rPr>
              <w:t>Public status</w:t>
            </w:r>
          </w:p>
        </w:tc>
      </w:tr>
      <w:tr>
        <w:tc>
          <w:tcPr>
            <w:tcW w:type="dxa" w:w="2016"/>
            <w:vAlign w:val="top"/>
          </w:tcPr>
          <w:p>
            <w:r>
              <w:t>Restricted notes excluded</w:t>
            </w:r>
          </w:p>
        </w:tc>
        <w:tc>
          <w:tcPr>
            <w:tcW w:type="dxa" w:w="4032"/>
            <w:vAlign w:val="top"/>
          </w:tcPr>
          <w:p>
            <w:r>
              <w:t>Restricted finance and personnel notes are excluded</w:t>
            </w:r>
          </w:p>
        </w:tc>
        <w:tc>
          <w:tcPr>
            <w:tcW w:type="dxa" w:w="2448"/>
            <w:vAlign w:val="top"/>
          </w:tcPr>
          <w:p>
            <w:r>
              <w:t>PRIVATE reviewer initials JJ</w:t>
            </w:r>
          </w:p>
        </w:tc>
        <w:tc>
          <w:tcPr>
            <w:tcW w:type="dxa" w:w="1152"/>
            <w:vAlign w:val="top"/>
          </w:tcPr>
          <w:p>
            <w:r>
              <w:t>Ready</w:t>
            </w:r>
          </w:p>
        </w:tc>
      </w:tr>
      <w:tr>
        <w:tc>
          <w:tcPr>
            <w:tcW w:type="dxa" w:w="2016"/>
            <w:vAlign w:val="top"/>
          </w:tcPr>
          <w:p>
            <w:r>
              <w:t>Evidence retained</w:t>
            </w:r>
          </w:p>
        </w:tc>
        <w:tc>
          <w:tcPr>
            <w:tcW w:type="dxa" w:w="4032"/>
            <w:vAlign w:val="top"/>
          </w:tcPr>
          <w:p>
            <w:r>
              <w:t>Evidence files are listed with retention locations</w:t>
            </w:r>
          </w:p>
        </w:tc>
        <w:tc>
          <w:tcPr>
            <w:tcW w:type="dxa" w:w="2448"/>
            <w:vAlign w:val="top"/>
          </w:tcPr>
          <w:p>
            <w:r>
              <w:t>Folder list checked</w:t>
            </w:r>
          </w:p>
        </w:tc>
        <w:tc>
          <w:tcPr>
            <w:tcW w:type="dxa" w:w="1152"/>
            <w:vAlign w:val="top"/>
          </w:tcPr>
          <w:p>
            <w:r>
              <w:t>Ready</w:t>
            </w:r>
          </w:p>
        </w:tc>
      </w:tr>
      <w:tr>
        <w:tc>
          <w:tcPr>
            <w:tcW w:type="dxa" w:w="2016"/>
            <w:vAlign w:val="top"/>
          </w:tcPr>
          <w:p>
            <w:r>
              <w:t>Allowable costs</w:t>
            </w:r>
          </w:p>
        </w:tc>
        <w:tc>
          <w:tcPr>
            <w:tcW w:type="dxa" w:w="4032"/>
            <w:vAlign w:val="top"/>
          </w:tcPr>
          <w:p>
            <w:r>
              <w:t>Costs align with approved public budget categories</w:t>
            </w:r>
          </w:p>
        </w:tc>
        <w:tc>
          <w:tcPr>
            <w:tcW w:type="dxa" w:w="2448"/>
            <w:vAlign w:val="top"/>
          </w:tcPr>
          <w:p>
            <w:r>
              <w:t>Finance review complete</w:t>
            </w:r>
          </w:p>
        </w:tc>
        <w:tc>
          <w:tcPr>
            <w:tcW w:type="dxa" w:w="1152"/>
            <w:vAlign w:val="top"/>
          </w:tcPr>
          <w:p>
            <w:r>
              <w:t>Ready</w:t>
            </w:r>
          </w:p>
        </w:tc>
      </w:tr>
      <w:tr>
        <w:tc>
          <w:tcPr>
            <w:tcW w:type="dxa" w:w="2016"/>
            <w:vAlign w:val="top"/>
          </w:tcPr>
          <w:p>
            <w:r>
              <w:t>Public packet ready</w:t>
            </w:r>
          </w:p>
        </w:tc>
        <w:tc>
          <w:tcPr>
            <w:tcW w:type="dxa" w:w="4032"/>
            <w:vAlign w:val="top"/>
          </w:tcPr>
          <w:p>
            <w:r>
              <w:t>Packet is ready for funder closeout review</w:t>
            </w:r>
          </w:p>
        </w:tc>
        <w:tc>
          <w:tcPr>
            <w:tcW w:type="dxa" w:w="2448"/>
            <w:vAlign w:val="top"/>
          </w:tcPr>
          <w:p>
            <w:r>
              <w:t>board optics line removed</w:t>
            </w:r>
          </w:p>
        </w:tc>
        <w:tc>
          <w:tcPr>
            <w:tcW w:type="dxa" w:w="1152"/>
            <w:vAlign w:val="top"/>
          </w:tcPr>
          <w:p>
            <w:r>
              <w:t>Ready</w:t>
            </w:r>
          </w:p>
        </w:tc>
      </w:tr>
      <w:tr>
        <w:tc>
          <w:tcPr>
            <w:tcW w:type="dxa" w:w="2016"/>
            <w:vAlign w:val="top"/>
          </w:tcPr>
          <w:p>
            <w:r>
              <w:t>Deliverables complete</w:t>
            </w:r>
          </w:p>
        </w:tc>
        <w:tc>
          <w:tcPr>
            <w:tcW w:type="dxa" w:w="4032"/>
            <w:vAlign w:val="top"/>
          </w:tcPr>
          <w:p>
            <w:r>
              <w:t>All six deliverables are complete</w:t>
            </w:r>
          </w:p>
        </w:tc>
        <w:tc>
          <w:tcPr>
            <w:tcW w:type="dxa" w:w="2448"/>
            <w:vAlign w:val="top"/>
          </w:tcPr>
          <w:p>
            <w:r>
              <w:t>Program review complete</w:t>
            </w:r>
          </w:p>
        </w:tc>
        <w:tc>
          <w:tcPr>
            <w:tcW w:type="dxa" w:w="1152"/>
            <w:vAlign w:val="top"/>
          </w:tcPr>
          <w:p>
            <w:r>
              <w:t>Ready</w:t>
            </w:r>
          </w:p>
        </w:tc>
      </w:tr>
    </w:tbl>
    <w:p/>
    <w:p>
      <w:pPr>
        <w:pStyle w:val="Heading1"/>
      </w:pPr>
      <w:r>
        <w:t>Draft: Deliverables and Outcomes raw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720"/>
            <w:vAlign w:val="center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2592"/>
            <w:vAlign w:val="center"/>
            <w:shd w:fill="D9EAF7"/>
          </w:tcPr>
          <w:p>
            <w:r>
              <w:rPr>
                <w:b/>
              </w:rPr>
              <w:t>Award commitment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rPr>
                <w:b/>
              </w:rPr>
              <w:t>Raw result note</w:t>
            </w:r>
          </w:p>
        </w:tc>
        <w:tc>
          <w:tcPr>
            <w:tcW w:type="dxa" w:w="1152"/>
            <w:vAlign w:val="center"/>
            <w:shd w:fill="D9EAF7"/>
          </w:tcPr>
          <w:p>
            <w:r>
              <w:rPr>
                <w:b/>
              </w:rPr>
              <w:t>Evidence link</w:t>
            </w:r>
          </w:p>
        </w:tc>
        <w:tc>
          <w:tcPr>
            <w:tcW w:type="dxa" w:w="2304"/>
            <w:vAlign w:val="center"/>
            <w:shd w:fill="D9EAF7"/>
          </w:tcPr>
          <w:p>
            <w:r>
              <w:rPr>
                <w:b/>
              </w:rPr>
              <w:t>Draft issue</w:t>
            </w:r>
          </w:p>
        </w:tc>
      </w:tr>
      <w:tr>
        <w:tc>
          <w:tcPr>
            <w:tcW w:type="dxa" w:w="720"/>
            <w:vAlign w:val="top"/>
          </w:tcPr>
          <w:p>
            <w:r>
              <w:t>D-03</w:t>
            </w:r>
          </w:p>
        </w:tc>
        <w:tc>
          <w:tcPr>
            <w:tcW w:type="dxa" w:w="2592"/>
            <w:vAlign w:val="top"/>
          </w:tcPr>
          <w:p>
            <w:r>
              <w:t>Coordinate 250 volunteer shifts</w:t>
            </w:r>
          </w:p>
        </w:tc>
        <w:tc>
          <w:tcPr>
            <w:tcW w:type="dxa" w:w="2880"/>
            <w:vAlign w:val="top"/>
          </w:tcPr>
          <w:p>
            <w:r>
              <w:t>312 volunteer shifts coordinated</w:t>
            </w:r>
          </w:p>
        </w:tc>
        <w:tc>
          <w:tcPr>
            <w:tcW w:type="dxa" w:w="1152"/>
            <w:vAlign w:val="top"/>
          </w:tcPr>
          <w:p>
            <w:r>
              <w:t>EV-003</w:t>
            </w:r>
          </w:p>
        </w:tc>
        <w:tc>
          <w:tcPr>
            <w:tcW w:type="dxa" w:w="2304"/>
            <w:vAlign w:val="top"/>
          </w:tcPr>
          <w:p>
            <w:r>
              <w:t>PRIVATE staff scheduling note removed</w:t>
            </w:r>
          </w:p>
        </w:tc>
      </w:tr>
      <w:tr>
        <w:tc>
          <w:tcPr>
            <w:tcW w:type="dxa" w:w="720"/>
            <w:vAlign w:val="top"/>
          </w:tcPr>
          <w:p>
            <w:r>
              <w:t>D-01</w:t>
            </w:r>
          </w:p>
        </w:tc>
        <w:tc>
          <w:tcPr>
            <w:tcW w:type="dxa" w:w="2592"/>
            <w:vAlign w:val="top"/>
          </w:tcPr>
          <w:p>
            <w:r>
              <w:t>Distribute 4,500 pantry boxes</w:t>
            </w:r>
          </w:p>
        </w:tc>
        <w:tc>
          <w:tcPr>
            <w:tcW w:type="dxa" w:w="2880"/>
            <w:vAlign w:val="top"/>
          </w:tcPr>
          <w:p>
            <w:r>
              <w:t>4,860 pantry boxes distributed</w:t>
            </w:r>
          </w:p>
        </w:tc>
        <w:tc>
          <w:tcPr>
            <w:tcW w:type="dxa" w:w="1152"/>
            <w:vAlign w:val="top"/>
          </w:tcPr>
          <w:p>
            <w:r>
              <w:t>EV-001</w:t>
            </w:r>
          </w:p>
        </w:tc>
        <w:tc>
          <w:tcPr>
            <w:tcW w:type="dxa" w:w="2304"/>
            <w:vAlign w:val="top"/>
          </w:tcPr>
          <w:p>
            <w:r>
              <w:t>public</w:t>
            </w:r>
          </w:p>
        </w:tc>
      </w:tr>
      <w:tr>
        <w:tc>
          <w:tcPr>
            <w:tcW w:type="dxa" w:w="720"/>
            <w:vAlign w:val="top"/>
          </w:tcPr>
          <w:p>
            <w:r>
              <w:t>D-05</w:t>
            </w:r>
          </w:p>
        </w:tc>
        <w:tc>
          <w:tcPr>
            <w:tcW w:type="dxa" w:w="2592"/>
            <w:vAlign w:val="top"/>
          </w:tcPr>
          <w:p>
            <w:r>
              <w:t>Collect participant feedback</w:t>
            </w:r>
          </w:p>
        </w:tc>
        <w:tc>
          <w:tcPr>
            <w:tcW w:type="dxa" w:w="2880"/>
            <w:vAlign w:val="top"/>
          </w:tcPr>
          <w:p>
            <w:r>
              <w:t>428 survey responses collected</w:t>
            </w:r>
          </w:p>
        </w:tc>
        <w:tc>
          <w:tcPr>
            <w:tcW w:type="dxa" w:w="1152"/>
            <w:vAlign w:val="top"/>
          </w:tcPr>
          <w:p>
            <w:r>
              <w:t>EV-005</w:t>
            </w:r>
          </w:p>
        </w:tc>
        <w:tc>
          <w:tcPr>
            <w:tcW w:type="dxa" w:w="2304"/>
            <w:vAlign w:val="top"/>
          </w:tcPr>
          <w:p>
            <w:r>
              <w:t>remove respondent scratch notes</w:t>
            </w:r>
          </w:p>
        </w:tc>
      </w:tr>
      <w:tr>
        <w:tc>
          <w:tcPr>
            <w:tcW w:type="dxa" w:w="720"/>
            <w:vAlign w:val="top"/>
          </w:tcPr>
          <w:p>
            <w:r>
              <w:t>D-02</w:t>
            </w:r>
          </w:p>
        </w:tc>
        <w:tc>
          <w:tcPr>
            <w:tcW w:type="dxa" w:w="2592"/>
            <w:vAlign w:val="top"/>
          </w:tcPr>
          <w:p>
            <w:r>
              <w:t>Run 12 neighborhood pop-ups</w:t>
            </w:r>
          </w:p>
        </w:tc>
        <w:tc>
          <w:tcPr>
            <w:tcW w:type="dxa" w:w="2880"/>
            <w:vAlign w:val="top"/>
          </w:tcPr>
          <w:p>
            <w:r>
              <w:t>18 neighborhood pop-ups hosted</w:t>
            </w:r>
          </w:p>
        </w:tc>
        <w:tc>
          <w:tcPr>
            <w:tcW w:type="dxa" w:w="1152"/>
            <w:vAlign w:val="top"/>
          </w:tcPr>
          <w:p>
            <w:r>
              <w:t>EV-002</w:t>
            </w:r>
          </w:p>
        </w:tc>
        <w:tc>
          <w:tcPr>
            <w:tcW w:type="dxa" w:w="2304"/>
            <w:vAlign w:val="top"/>
          </w:tcPr>
          <w:p>
            <w:r>
              <w:t>public</w:t>
            </w:r>
          </w:p>
        </w:tc>
      </w:tr>
      <w:tr>
        <w:tc>
          <w:tcPr>
            <w:tcW w:type="dxa" w:w="720"/>
            <w:vAlign w:val="top"/>
          </w:tcPr>
          <w:p>
            <w:r>
              <w:t>D-06</w:t>
            </w:r>
          </w:p>
        </w:tc>
        <w:tc>
          <w:tcPr>
            <w:tcW w:type="dxa" w:w="2592"/>
            <w:vAlign w:val="top"/>
          </w:tcPr>
          <w:p>
            <w:r>
              <w:t>Submit final public closeout packet</w:t>
            </w:r>
          </w:p>
        </w:tc>
        <w:tc>
          <w:tcPr>
            <w:tcW w:type="dxa" w:w="2880"/>
            <w:vAlign w:val="top"/>
          </w:tcPr>
          <w:p>
            <w:r>
              <w:t>Closeout packet prepared for funder review</w:t>
            </w:r>
          </w:p>
        </w:tc>
        <w:tc>
          <w:tcPr>
            <w:tcW w:type="dxa" w:w="1152"/>
            <w:vAlign w:val="top"/>
          </w:tcPr>
          <w:p>
            <w:r>
              <w:t>EV-006</w:t>
            </w:r>
          </w:p>
        </w:tc>
        <w:tc>
          <w:tcPr>
            <w:tcW w:type="dxa" w:w="2304"/>
            <w:vAlign w:val="top"/>
          </w:tcPr>
          <w:p>
            <w:r>
              <w:t>remove internal risk checklist</w:t>
            </w:r>
          </w:p>
        </w:tc>
      </w:tr>
      <w:tr>
        <w:tc>
          <w:tcPr>
            <w:tcW w:type="dxa" w:w="720"/>
            <w:vAlign w:val="top"/>
          </w:tcPr>
          <w:p>
            <w:r>
              <w:t>D-04</w:t>
            </w:r>
          </w:p>
        </w:tc>
        <w:tc>
          <w:tcPr>
            <w:tcW w:type="dxa" w:w="2592"/>
            <w:vAlign w:val="top"/>
          </w:tcPr>
          <w:p>
            <w:r>
              <w:t>Publish multilingual materials</w:t>
            </w:r>
          </w:p>
        </w:tc>
        <w:tc>
          <w:tcPr>
            <w:tcW w:type="dxa" w:w="2880"/>
            <w:vAlign w:val="top"/>
          </w:tcPr>
          <w:p>
            <w:r>
              <w:t>Spanish, Vietnamese, and large-print materials published</w:t>
            </w:r>
          </w:p>
        </w:tc>
        <w:tc>
          <w:tcPr>
            <w:tcW w:type="dxa" w:w="1152"/>
            <w:vAlign w:val="top"/>
          </w:tcPr>
          <w:p>
            <w:r>
              <w:t>EV-004</w:t>
            </w:r>
          </w:p>
        </w:tc>
        <w:tc>
          <w:tcPr>
            <w:tcW w:type="dxa" w:w="2304"/>
            <w:vAlign w:val="top"/>
          </w:tcPr>
          <w:p>
            <w:r>
              <w:t>public</w:t>
            </w:r>
          </w:p>
        </w:tc>
      </w:tr>
    </w:tbl>
    <w:p/>
    <w:p>
      <w:r>
        <w:t>Outcome language for release: The project distributed 4,860 pantry boxes, coordinated 312 volunteer shifts, and hosted 18 neighborhood pop-ups.</w:t>
      </w:r>
    </w:p>
    <w:p>
      <w:r>
        <w:t>Access language for release: Multilingual access included Spanish, Vietnamese, and large-print public materials.</w:t>
      </w:r>
    </w:p>
    <w:p>
      <w:pPr>
        <w:pStyle w:val="Heading1"/>
      </w:pPr>
      <w:r>
        <w:t>Draft: Release Summary</w:t>
      </w:r>
    </w:p>
    <w:p>
      <w:r>
        <w:t>This public closeout packet documents completed food resilience activities for the Riverbend neighborhood network.</w:t>
      </w:r>
    </w:p>
    <w:p>
      <w:r>
        <w:t>The project distributed 4,860 pantry boxes, coordinated 312 volunteer shifts, and hosted 18 neighborhood pop-ups.</w:t>
      </w:r>
    </w:p>
    <w:p>
      <w:r>
        <w:t>Multilingual access included Spanish, Vietnamese, and large-print public materials.</w:t>
      </w:r>
    </w:p>
    <w:p>
      <w:r>
        <w:t>All public deliverables are complete and ready for funder closeout review.</w:t>
      </w:r>
    </w:p>
    <w:p>
      <w:r>
        <w:t>PRIVATE: do not include a narrative about bridge loan timing or board optics in the summary.</w:t>
      </w:r>
    </w:p>
    <w:p>
      <w:pPr>
        <w:pStyle w:val="Heading1"/>
      </w:pPr>
      <w:r>
        <w:t>Draft: Award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vAlign w:val="center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304"/>
            <w:vAlign w:val="center"/>
            <w:shd w:fill="D9EAF7"/>
          </w:tcPr>
          <w:p>
            <w:r>
              <w:rPr>
                <w:b/>
              </w:rPr>
              <w:t>Source note</w:t>
            </w:r>
          </w:p>
        </w:tc>
        <w:tc>
          <w:tcPr>
            <w:tcW w:type="dxa" w:w="1584"/>
            <w:vAlign w:val="center"/>
            <w:shd w:fill="D9EAF7"/>
          </w:tcPr>
          <w:p>
            <w:r>
              <w:rPr>
                <w:b/>
              </w:rPr>
              <w:t>Release review</w:t>
            </w:r>
          </w:p>
        </w:tc>
      </w:tr>
      <w:tr>
        <w:tc>
          <w:tcPr>
            <w:tcW w:type="dxa" w:w="1728"/>
            <w:vAlign w:val="top"/>
          </w:tcPr>
          <w:p>
            <w:r>
              <w:t>Required Match</w:t>
            </w:r>
          </w:p>
        </w:tc>
        <w:tc>
          <w:tcPr>
            <w:tcW w:type="dxa" w:w="2880"/>
            <w:vAlign w:val="top"/>
          </w:tcPr>
          <w:p>
            <w:r>
              <w:t>$28,500</w:t>
            </w:r>
          </w:p>
        </w:tc>
        <w:tc>
          <w:tcPr>
            <w:tcW w:type="dxa" w:w="2304"/>
            <w:vAlign w:val="top"/>
          </w:tcPr>
          <w:p>
            <w:r>
              <w:t>Award memo</w:t>
            </w:r>
          </w:p>
        </w:tc>
        <w:tc>
          <w:tcPr>
            <w:tcW w:type="dxa" w:w="1584"/>
            <w:vAlign w:val="top"/>
          </w:tcPr>
          <w:p>
            <w:r>
              <w:t>Confirmed</w:t>
            </w:r>
          </w:p>
        </w:tc>
      </w:tr>
      <w:tr>
        <w:tc>
          <w:tcPr>
            <w:tcW w:type="dxa" w:w="1728"/>
            <w:vAlign w:val="top"/>
          </w:tcPr>
          <w:p>
            <w:r>
              <w:t>Award Total</w:t>
            </w:r>
          </w:p>
        </w:tc>
        <w:tc>
          <w:tcPr>
            <w:tcW w:type="dxa" w:w="2880"/>
            <w:vAlign w:val="top"/>
          </w:tcPr>
          <w:p>
            <w:r>
              <w:t>$142,500</w:t>
            </w:r>
          </w:p>
        </w:tc>
        <w:tc>
          <w:tcPr>
            <w:tcW w:type="dxa" w:w="2304"/>
            <w:vAlign w:val="top"/>
          </w:tcPr>
          <w:p>
            <w:r>
              <w:t>Budget ledger</w:t>
            </w:r>
          </w:p>
        </w:tc>
        <w:tc>
          <w:tcPr>
            <w:tcW w:type="dxa" w:w="1584"/>
            <w:vAlign w:val="top"/>
          </w:tcPr>
          <w:p>
            <w:r>
              <w:t>Confirmed</w:t>
            </w:r>
          </w:p>
        </w:tc>
      </w:tr>
      <w:tr>
        <w:tc>
          <w:tcPr>
            <w:tcW w:type="dxa" w:w="1728"/>
            <w:vAlign w:val="top"/>
          </w:tcPr>
          <w:p>
            <w:r>
              <w:t>Funder</w:t>
            </w:r>
          </w:p>
        </w:tc>
        <w:tc>
          <w:tcPr>
            <w:tcW w:type="dxa" w:w="2880"/>
            <w:vAlign w:val="top"/>
          </w:tcPr>
          <w:p>
            <w:r>
              <w:t>Coastal Community Foundation</w:t>
            </w:r>
          </w:p>
        </w:tc>
        <w:tc>
          <w:tcPr>
            <w:tcW w:type="dxa" w:w="2304"/>
            <w:vAlign w:val="top"/>
          </w:tcPr>
          <w:p>
            <w:r>
              <w:t>Award memo</w:t>
            </w:r>
          </w:p>
        </w:tc>
        <w:tc>
          <w:tcPr>
            <w:tcW w:type="dxa" w:w="1584"/>
            <w:vAlign w:val="top"/>
          </w:tcPr>
          <w:p>
            <w:r>
              <w:t>Confirmed</w:t>
            </w:r>
          </w:p>
        </w:tc>
      </w:tr>
      <w:tr>
        <w:tc>
          <w:tcPr>
            <w:tcW w:type="dxa" w:w="1728"/>
            <w:vAlign w:val="top"/>
          </w:tcPr>
          <w:p>
            <w:r>
              <w:t>Period</w:t>
            </w:r>
          </w:p>
        </w:tc>
        <w:tc>
          <w:tcPr>
            <w:tcW w:type="dxa" w:w="2880"/>
            <w:vAlign w:val="top"/>
          </w:tcPr>
          <w:p>
            <w:r>
              <w:t>2026-01-01 to 2026-06-30</w:t>
            </w:r>
          </w:p>
        </w:tc>
        <w:tc>
          <w:tcPr>
            <w:tcW w:type="dxa" w:w="2304"/>
            <w:vAlign w:val="top"/>
          </w:tcPr>
          <w:p>
            <w:r>
              <w:t>Award memo</w:t>
            </w:r>
          </w:p>
        </w:tc>
        <w:tc>
          <w:tcPr>
            <w:tcW w:type="dxa" w:w="1584"/>
            <w:vAlign w:val="top"/>
          </w:tcPr>
          <w:p>
            <w:r>
              <w:t>Confirmed</w:t>
            </w:r>
          </w:p>
        </w:tc>
      </w:tr>
      <w:tr>
        <w:tc>
          <w:tcPr>
            <w:tcW w:type="dxa" w:w="1728"/>
            <w:vAlign w:val="top"/>
          </w:tcPr>
          <w:p>
            <w:r>
              <w:t>Project</w:t>
            </w:r>
          </w:p>
        </w:tc>
        <w:tc>
          <w:tcPr>
            <w:tcW w:type="dxa" w:w="2880"/>
            <w:vAlign w:val="top"/>
          </w:tcPr>
          <w:p>
            <w:r>
              <w:t>Riverbend Food Resilience Grant</w:t>
            </w:r>
          </w:p>
        </w:tc>
        <w:tc>
          <w:tcPr>
            <w:tcW w:type="dxa" w:w="2304"/>
            <w:vAlign w:val="top"/>
          </w:tcPr>
          <w:p>
            <w:r>
              <w:t>Award memo</w:t>
            </w:r>
          </w:p>
        </w:tc>
        <w:tc>
          <w:tcPr>
            <w:tcW w:type="dxa" w:w="1584"/>
            <w:vAlign w:val="top"/>
          </w:tcPr>
          <w:p>
            <w:r>
              <w:t>Confirmed</w:t>
            </w:r>
          </w:p>
        </w:tc>
      </w:tr>
      <w:tr>
        <w:tc>
          <w:tcPr>
            <w:tcW w:type="dxa" w:w="1728"/>
            <w:vAlign w:val="top"/>
          </w:tcPr>
          <w:p>
            <w:r>
              <w:t>Award ID</w:t>
            </w:r>
          </w:p>
        </w:tc>
        <w:tc>
          <w:tcPr>
            <w:tcW w:type="dxa" w:w="2880"/>
            <w:vAlign w:val="top"/>
          </w:tcPr>
          <w:p>
            <w:r>
              <w:t>RFG-2026-14</w:t>
            </w:r>
          </w:p>
        </w:tc>
        <w:tc>
          <w:tcPr>
            <w:tcW w:type="dxa" w:w="2304"/>
            <w:vAlign w:val="top"/>
          </w:tcPr>
          <w:p>
            <w:r>
              <w:t>Award memo</w:t>
            </w:r>
          </w:p>
        </w:tc>
        <w:tc>
          <w:tcPr>
            <w:tcW w:type="dxa" w:w="1584"/>
            <w:vAlign w:val="top"/>
          </w:tcPr>
          <w:p>
            <w:r>
              <w:t>Confirmed</w:t>
            </w:r>
          </w:p>
        </w:tc>
      </w:tr>
      <w:tr>
        <w:tc>
          <w:tcPr>
            <w:tcW w:type="dxa" w:w="1728"/>
            <w:vAlign w:val="top"/>
          </w:tcPr>
          <w:p>
            <w:r>
              <w:t>Closeout Status</w:t>
            </w:r>
          </w:p>
        </w:tc>
        <w:tc>
          <w:tcPr>
            <w:tcW w:type="dxa" w:w="2880"/>
            <w:vAlign w:val="top"/>
          </w:tcPr>
          <w:p>
            <w:r>
              <w:t>Complete</w:t>
            </w:r>
          </w:p>
        </w:tc>
        <w:tc>
          <w:tcPr>
            <w:tcW w:type="dxa" w:w="2304"/>
            <w:vAlign w:val="top"/>
          </w:tcPr>
          <w:p>
            <w:r>
              <w:t>Closeout review</w:t>
            </w:r>
          </w:p>
        </w:tc>
        <w:tc>
          <w:tcPr>
            <w:tcW w:type="dxa" w:w="1584"/>
            <w:vAlign w:val="top"/>
          </w:tcPr>
          <w:p>
            <w:r>
              <w:t>Confirmed</w:t>
            </w:r>
          </w:p>
        </w:tc>
      </w:tr>
    </w:tbl>
    <w:p/>
    <w:p>
      <w:r>
        <w:t>Public snapshot table should use columns Field, Value, Source, Review and reorder the fields into project, award ID, funder, period, award total, required match, closeout status.</w:t>
      </w:r>
    </w:p>
    <w:p>
      <w:pPr>
        <w:pStyle w:val="Heading1"/>
      </w:pPr>
      <w:r>
        <w:t>Draft: Appendix A - Public Contact Directory</w:t>
      </w:r>
    </w:p>
    <w:p>
      <w:r>
        <w:t>This appendix is public but must start on a new page in the release packet.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872"/>
            <w:vAlign w:val="center"/>
            <w:shd w:fill="D9EAF7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592"/>
            <w:vAlign w:val="center"/>
            <w:shd w:fill="D9EAF7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rPr>
                <w:b/>
              </w:rPr>
              <w:t>Public Phone</w:t>
            </w:r>
          </w:p>
        </w:tc>
        <w:tc>
          <w:tcPr>
            <w:tcW w:type="dxa" w:w="2592"/>
            <w:vAlign w:val="center"/>
            <w:shd w:fill="D9EAF7"/>
          </w:tcPr>
          <w:p>
            <w:r>
              <w:rPr>
                <w:b/>
              </w:rPr>
              <w:t>Private note</w:t>
            </w:r>
          </w:p>
        </w:tc>
      </w:tr>
      <w:tr>
        <w:tc>
          <w:tcPr>
            <w:tcW w:type="dxa" w:w="2016"/>
            <w:vAlign w:val="top"/>
          </w:tcPr>
          <w:p>
            <w:r>
              <w:t>Finance Contact</w:t>
            </w:r>
          </w:p>
        </w:tc>
        <w:tc>
          <w:tcPr>
            <w:tcW w:type="dxa" w:w="1872"/>
            <w:vAlign w:val="top"/>
          </w:tcPr>
          <w:p>
            <w:r>
              <w:t>Jon Bell</w:t>
            </w:r>
          </w:p>
        </w:tc>
        <w:tc>
          <w:tcPr>
            <w:tcW w:type="dxa" w:w="2592"/>
            <w:vAlign w:val="top"/>
          </w:tcPr>
          <w:p>
            <w:r>
              <w:t>finance@example.test</w:t>
            </w:r>
          </w:p>
        </w:tc>
        <w:tc>
          <w:tcPr>
            <w:tcW w:type="dxa" w:w="1440"/>
            <w:vAlign w:val="top"/>
          </w:tcPr>
          <w:p>
            <w:r>
              <w:t>555-0202</w:t>
            </w:r>
          </w:p>
        </w:tc>
        <w:tc>
          <w:tcPr>
            <w:tcW w:type="dxa" w:w="2592"/>
            <w:vAlign w:val="top"/>
          </w:tcPr>
          <w:p>
            <w:r>
              <w:t>INTERNAL finance escalation channel omitted</w:t>
            </w:r>
          </w:p>
        </w:tc>
      </w:tr>
      <w:tr>
        <w:tc>
          <w:tcPr>
            <w:tcW w:type="dxa" w:w="2016"/>
            <w:vAlign w:val="top"/>
          </w:tcPr>
          <w:p>
            <w:r>
              <w:t>Accessibility Contact</w:t>
            </w:r>
          </w:p>
        </w:tc>
        <w:tc>
          <w:tcPr>
            <w:tcW w:type="dxa" w:w="1872"/>
            <w:vAlign w:val="top"/>
          </w:tcPr>
          <w:p>
            <w:r>
              <w:t>Nina Tran</w:t>
            </w:r>
          </w:p>
        </w:tc>
        <w:tc>
          <w:tcPr>
            <w:tcW w:type="dxa" w:w="2592"/>
            <w:vAlign w:val="top"/>
          </w:tcPr>
          <w:p>
            <w:r>
              <w:t>access@example.test</w:t>
            </w:r>
          </w:p>
        </w:tc>
        <w:tc>
          <w:tcPr>
            <w:tcW w:type="dxa" w:w="1440"/>
            <w:vAlign w:val="top"/>
          </w:tcPr>
          <w:p>
            <w:r>
              <w:t>555-0204</w:t>
            </w:r>
          </w:p>
        </w:tc>
        <w:tc>
          <w:tcPr>
            <w:tcW w:type="dxa" w:w="2592"/>
            <w:vAlign w:val="top"/>
          </w:tcPr>
          <w:p>
            <w:r>
              <w:t>public</w:t>
            </w:r>
          </w:p>
        </w:tc>
      </w:tr>
      <w:tr>
        <w:tc>
          <w:tcPr>
            <w:tcW w:type="dxa" w:w="2016"/>
            <w:vAlign w:val="top"/>
          </w:tcPr>
          <w:p>
            <w:r>
              <w:t>Project Director</w:t>
            </w:r>
          </w:p>
        </w:tc>
        <w:tc>
          <w:tcPr>
            <w:tcW w:type="dxa" w:w="1872"/>
            <w:vAlign w:val="top"/>
          </w:tcPr>
          <w:p>
            <w:r>
              <w:t>Maya Chen</w:t>
            </w:r>
          </w:p>
        </w:tc>
        <w:tc>
          <w:tcPr>
            <w:tcW w:type="dxa" w:w="2592"/>
            <w:vAlign w:val="top"/>
          </w:tcPr>
          <w:p>
            <w:r>
              <w:t>maya.chen@example.test</w:t>
            </w:r>
          </w:p>
        </w:tc>
        <w:tc>
          <w:tcPr>
            <w:tcW w:type="dxa" w:w="1440"/>
            <w:vAlign w:val="top"/>
          </w:tcPr>
          <w:p>
            <w:r>
              <w:t>555-0201</w:t>
            </w:r>
          </w:p>
        </w:tc>
        <w:tc>
          <w:tcPr>
            <w:tcW w:type="dxa" w:w="2592"/>
            <w:vAlign w:val="top"/>
          </w:tcPr>
          <w:p>
            <w:r>
              <w:t>PRIVATE cell removed</w:t>
            </w:r>
          </w:p>
        </w:tc>
      </w:tr>
      <w:tr>
        <w:tc>
          <w:tcPr>
            <w:tcW w:type="dxa" w:w="2016"/>
            <w:vAlign w:val="top"/>
          </w:tcPr>
          <w:p>
            <w:r>
              <w:t>Program Contact</w:t>
            </w:r>
          </w:p>
        </w:tc>
        <w:tc>
          <w:tcPr>
            <w:tcW w:type="dxa" w:w="1872"/>
            <w:vAlign w:val="top"/>
          </w:tcPr>
          <w:p>
            <w:r>
              <w:t>Leila Ortiz</w:t>
            </w:r>
          </w:p>
        </w:tc>
        <w:tc>
          <w:tcPr>
            <w:tcW w:type="dxa" w:w="2592"/>
            <w:vAlign w:val="top"/>
          </w:tcPr>
          <w:p>
            <w:r>
              <w:t>programs@example.test</w:t>
            </w:r>
          </w:p>
        </w:tc>
        <w:tc>
          <w:tcPr>
            <w:tcW w:type="dxa" w:w="1440"/>
            <w:vAlign w:val="top"/>
          </w:tcPr>
          <w:p>
            <w:r>
              <w:t>555-0203</w:t>
            </w:r>
          </w:p>
        </w:tc>
        <w:tc>
          <w:tcPr>
            <w:tcW w:type="dxa" w:w="2592"/>
            <w:vAlign w:val="top"/>
          </w:tcPr>
          <w:p>
            <w:r>
              <w:t>public</w:t>
            </w:r>
          </w:p>
        </w:tc>
      </w:tr>
    </w:tbl>
    <w:p/>
    <w:p>
      <w:pPr>
        <w:pStyle w:val="Heading1"/>
      </w:pPr>
      <w:r>
        <w:t>INTERNAL afterword - remove from release</w:t>
      </w:r>
    </w:p>
    <w:p>
      <w:r>
        <w:t>scratch: hold until the sponsor complaint and private donor pressure questions are resolved. This paragraph is intentionally not public.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circulation only - Page placeholder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DRAFT / INTERNAL - Riverbend closeout working copy - do not disclose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