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Draft: Incident Response Manual - Working Copy</w:t>
      </w:r>
    </w:p>
    <w:p>
      <w:r>
        <w:t>Manual TOC placeholder - replace with real table of contents before publication.</w:t>
      </w:r>
    </w:p>
    <w:p>
      <w:r>
        <w:t>[INTERNAL] Legal review note: vendor root cause language remains privileged and must not go public.</w:t>
      </w:r>
    </w:p>
    <w:p>
      <w:r>
        <w:t>Owner phone bridge: 555-0199. Do not publish this bridge line.</w:t>
      </w:r>
    </w:p>
    <w:p>
      <w:pPr>
        <w:pStyle w:val="Heading1"/>
      </w:pPr>
      <w:r>
        <w:t>Draft: Publication Summary</w:t>
      </w:r>
    </w:p>
    <w:p>
      <w:r>
        <w:t>This section still mixes public facts and internal triage notes.</w:t>
      </w:r>
    </w:p>
    <w:p>
      <w:pPr>
        <w:pStyle w:val="Heading1"/>
      </w:pPr>
      <w:r>
        <w:t>Draft: Response Timeline</w:t>
      </w:r>
    </w:p>
    <w:p>
      <w:r>
        <w:t>Initial alert, triage, containment, and recovery entries need normalized public wording.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Raw Time</w:t>
            </w:r>
          </w:p>
        </w:tc>
        <w:tc>
          <w:tcPr>
            <w:tcW w:type="dxa" w:w="2160"/>
          </w:tcPr>
          <w:p>
            <w:r>
              <w:t>Event</w:t>
            </w:r>
          </w:p>
        </w:tc>
        <w:tc>
          <w:tcPr>
            <w:tcW w:type="dxa" w:w="2160"/>
          </w:tcPr>
          <w:p>
            <w:r>
              <w:t>Internal Detail</w:t>
            </w:r>
          </w:p>
        </w:tc>
        <w:tc>
          <w:tcPr>
            <w:tcW w:type="dxa" w:w="2160"/>
          </w:tcPr>
          <w:p>
            <w:r>
              <w:t>Public?</w:t>
            </w:r>
          </w:p>
        </w:tc>
      </w:tr>
      <w:tr>
        <w:tc>
          <w:tcPr>
            <w:tcW w:type="dxa" w:w="2160"/>
          </w:tcPr>
          <w:p>
            <w:r>
              <w:t>2026-06-01 08:12</w:t>
            </w:r>
          </w:p>
        </w:tc>
        <w:tc>
          <w:tcPr>
            <w:tcW w:type="dxa" w:w="2160"/>
          </w:tcPr>
          <w:p>
            <w:r>
              <w:t>Alert opened</w:t>
            </w:r>
          </w:p>
        </w:tc>
        <w:tc>
          <w:tcPr>
            <w:tcW w:type="dxa" w:w="2160"/>
          </w:tcPr>
          <w:p>
            <w:r>
              <w:t>Vendor root cause suspected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2026-06-01 09:40</w:t>
            </w:r>
          </w:p>
        </w:tc>
        <w:tc>
          <w:tcPr>
            <w:tcW w:type="dxa" w:w="2160"/>
          </w:tcPr>
          <w:p>
            <w:r>
              <w:t>Containment applied</w:t>
            </w:r>
          </w:p>
        </w:tc>
        <w:tc>
          <w:tcPr>
            <w:tcW w:type="dxa" w:w="2160"/>
          </w:tcPr>
          <w:p>
            <w:r>
              <w:t>[INTERNAL] firewall rule owner was late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2026-06-01 15:10</w:t>
            </w:r>
          </w:p>
        </w:tc>
        <w:tc>
          <w:tcPr>
            <w:tcW w:type="dxa" w:w="2160"/>
          </w:tcPr>
          <w:p>
            <w:r>
              <w:t>Service restored</w:t>
            </w:r>
          </w:p>
        </w:tc>
        <w:tc>
          <w:tcPr>
            <w:tcW w:type="dxa" w:w="2160"/>
          </w:tcPr>
          <w:p>
            <w:r>
              <w:t>Customer-visible summary needed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>
      <w:pPr>
        <w:pStyle w:val="Heading1"/>
      </w:pPr>
      <w:r>
        <w:t>Draft: Customer Communication</w:t>
      </w:r>
    </w:p>
    <w:p>
      <w:r>
        <w:t>Customer notices need one table and no internal commentary.</w:t>
      </w:r>
    </w:p>
    <w:p>
      <w:pPr>
        <w:pStyle w:val="Heading1"/>
      </w:pPr>
      <w:r>
        <w:t>Draft: Control Exceptions</w:t>
      </w:r>
    </w:p>
    <w:p>
      <w:r>
        <w:t>Exception text needs owner, status, and evidence boundary cleanup.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Exception</w:t>
            </w:r>
          </w:p>
        </w:tc>
        <w:tc>
          <w:tcPr>
            <w:tcW w:type="dxa" w:w="1728"/>
          </w:tcPr>
          <w:p>
            <w:r>
              <w:t>Control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Internal Comment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EX-01</w:t>
            </w:r>
          </w:p>
        </w:tc>
        <w:tc>
          <w:tcPr>
            <w:tcW w:type="dxa" w:w="1728"/>
          </w:tcPr>
          <w:p>
            <w:r>
              <w:t>MFA evidence</w:t>
            </w:r>
          </w:p>
        </w:tc>
        <w:tc>
          <w:tcPr>
            <w:tcW w:type="dxa" w:w="1728"/>
          </w:tcPr>
          <w:p>
            <w:r>
              <w:t>Unassigned</w:t>
            </w:r>
          </w:p>
        </w:tc>
        <w:tc>
          <w:tcPr>
            <w:tcW w:type="dxa" w:w="1728"/>
          </w:tcPr>
          <w:p>
            <w:r>
              <w:t>Do not publish: screenshots missing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</w:tr>
      <w:tr>
        <w:tc>
          <w:tcPr>
            <w:tcW w:type="dxa" w:w="1728"/>
          </w:tcPr>
          <w:p>
            <w:r>
              <w:t>EX-02</w:t>
            </w:r>
          </w:p>
        </w:tc>
        <w:tc>
          <w:tcPr>
            <w:tcW w:type="dxa" w:w="1728"/>
          </w:tcPr>
          <w:p>
            <w:r>
              <w:t>Log retention</w:t>
            </w:r>
          </w:p>
        </w:tc>
        <w:tc>
          <w:tcPr>
            <w:tcW w:type="dxa" w:w="1728"/>
          </w:tcPr>
          <w:p>
            <w:r>
              <w:t>Rina Patel</w:t>
            </w:r>
          </w:p>
        </w:tc>
        <w:tc>
          <w:tcPr>
            <w:tcW w:type="dxa" w:w="1728"/>
          </w:tcPr>
          <w:p>
            <w:r>
              <w:t>Resolved after archive export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</w:tr>
    </w:tbl>
    <w:p>
      <w:pPr>
        <w:pStyle w:val="Heading1"/>
      </w:pPr>
      <w:r>
        <w:t>Draft: Appendix B - Approval Record</w:t>
      </w:r>
    </w:p>
    <w:p>
      <w:r>
        <w:t>Approvals are out of order and should move after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Maya Chen</w:t>
            </w:r>
          </w:p>
        </w:tc>
        <w:tc>
          <w:tcPr>
            <w:tcW w:type="dxa" w:w="2880"/>
          </w:tcPr>
          <w:p>
            <w:r>
              <w:t>Incident Lead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  <w:tr>
        <w:tc>
          <w:tcPr>
            <w:tcW w:type="dxa" w:w="2880"/>
          </w:tcPr>
          <w:p>
            <w:r>
              <w:t>Jon Bell</w:t>
            </w:r>
          </w:p>
        </w:tc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Approved with privileged text removed</w:t>
            </w:r>
          </w:p>
        </w:tc>
      </w:tr>
    </w:tbl>
    <w:p>
      <w:pPr>
        <w:pStyle w:val="Heading1"/>
      </w:pPr>
      <w:r>
        <w:t>Draft: Appendix A - Evidence Index</w:t>
      </w:r>
    </w:p>
    <w:p>
      <w:r>
        <w:t>Evidence items need public labels and page-break separation.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Evidence ID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Public Label</w:t>
            </w:r>
          </w:p>
        </w:tc>
        <w:tc>
          <w:tcPr>
            <w:tcW w:type="dxa" w:w="2160"/>
          </w:tcPr>
          <w:p>
            <w:r>
              <w:t>Keep?</w:t>
            </w:r>
          </w:p>
        </w:tc>
      </w:tr>
      <w:tr>
        <w:tc>
          <w:tcPr>
            <w:tcW w:type="dxa" w:w="2160"/>
          </w:tcPr>
          <w:p>
            <w:r>
              <w:t>EV-01</w:t>
            </w:r>
          </w:p>
        </w:tc>
        <w:tc>
          <w:tcPr>
            <w:tcW w:type="dxa" w:w="2160"/>
          </w:tcPr>
          <w:p>
            <w:r>
              <w:t>PagerDuty export</w:t>
            </w:r>
          </w:p>
        </w:tc>
        <w:tc>
          <w:tcPr>
            <w:tcW w:type="dxa" w:w="2160"/>
          </w:tcPr>
          <w:p>
            <w:r>
              <w:t>Alert chronology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EV-02</w:t>
            </w:r>
          </w:p>
        </w:tc>
        <w:tc>
          <w:tcPr>
            <w:tcW w:type="dxa" w:w="2160"/>
          </w:tcPr>
          <w:p>
            <w:r>
              <w:t>Internal Slack</w:t>
            </w:r>
          </w:p>
        </w:tc>
        <w:tc>
          <w:tcPr>
            <w:tcW w:type="dxa" w:w="2160"/>
          </w:tcPr>
          <w:p>
            <w:r>
              <w:t>Do not publish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EV-03</w:t>
            </w:r>
          </w:p>
        </w:tc>
        <w:tc>
          <w:tcPr>
            <w:tcW w:type="dxa" w:w="2160"/>
          </w:tcPr>
          <w:p>
            <w:r>
              <w:t>Customer email</w:t>
            </w:r>
          </w:p>
        </w:tc>
        <w:tc>
          <w:tcPr>
            <w:tcW w:type="dxa" w:w="2160"/>
          </w:tcPr>
          <w:p>
            <w:r>
              <w:t>Customer notification record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footer - not for release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Draft Incident Manual | Internal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