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Policy Manual</w:t>
      </w:r>
    </w:p>
    <w:p>
      <w:r>
        <w:t>Manual TOC placeholder</w:t>
      </w:r>
    </w:p>
    <w:p>
      <w:pPr>
        <w:pStyle w:val="Heading1"/>
      </w:pPr>
      <w:r>
        <w:t>Draft: Exceptions</w:t>
      </w:r>
    </w:p>
    <w:p>
      <w:r>
        <w:t>Draft: Exception: MFA rollout missing owner.</w:t>
      </w:r>
    </w:p>
    <w:p>
      <w:r>
        <w:t>Draft: Exception: Vendor review overdue.</w:t>
      </w:r>
    </w:p>
    <w:p>
      <w:pPr>
        <w:pStyle w:val="Heading1"/>
      </w:pPr>
      <w:r>
        <w:t>Draft: Scope</w:t>
      </w:r>
    </w:p>
    <w:p>
      <w:r>
        <w:t>Draft: Applies to production systems.</w:t>
      </w:r>
    </w:p>
    <w:p>
      <w:pPr>
        <w:pStyle w:val="Heading1"/>
      </w:pPr>
      <w:r>
        <w:t>Draft: Controls</w:t>
      </w:r>
    </w:p>
    <w:p>
      <w:r>
        <w:t>Draft: CTRL-1 MFA required.</w:t>
      </w:r>
    </w:p>
    <w:p>
      <w:r>
        <w:t>Draft: CTRL-2 Vendor review required.</w:t>
      </w:r>
    </w:p>
    <w:p>
      <w:pPr>
        <w:pStyle w:val="Heading1"/>
      </w:pPr>
      <w:r>
        <w:t>Draft: Appendix B - Evidence</w:t>
      </w:r>
    </w:p>
    <w:p>
      <w:r>
        <w:t>Draft: Evidence list draft.</w:t>
      </w:r>
    </w:p>
    <w:p>
      <w:pPr>
        <w:pStyle w:val="Heading1"/>
      </w:pPr>
      <w:r>
        <w:t>Draft: Appendix A - Definitions</w:t>
      </w:r>
    </w:p>
    <w:p>
      <w:r>
        <w:t>Draft: Critical system: tier-one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