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 Response Scope Note</w:t>
      </w:r>
    </w:p>
    <w:p>
      <w:r>
        <w:t>Public deck may include CAPA-17, CAPA-18, and CAPA-24 only.</w:t>
      </w:r>
    </w:p>
    <w:p>
      <w:r>
        <w:t>Closed CAPA-21 and deviation D-226 must remain in the workbook but must not appear on public slides.</w:t>
      </w:r>
    </w:p>
    <w:p>
      <w:r>
        <w:t>Expand owner aliases: P. Shah = Priya Shah; M. Cruz = Mateo Cruz; N. Patel = Noah Patel; L. Ortiz = Lena Ortiz.</w:t>
      </w:r>
    </w:p>
    <w:p>
      <w:r>
        <w:t>CAPA-17 is At Risk because the effectiveness check is not complete. CAPA-24 is Blocked because the lab certificate is missing.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