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Owner Directory</w:t>
      </w:r>
    </w:p>
    <w:p>
      <w:r>
        <w:t>Use the canonical owner names below when filling the release tracker.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Owner Alias</w:t>
            </w:r>
          </w:p>
        </w:tc>
        <w:tc>
          <w:tcPr>
            <w:tcW w:type="dxa" w:w="2160"/>
          </w:tcPr>
          <w:p>
            <w:r>
              <w:t>Canonical Owner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</w:tr>
      <w:tr>
        <w:tc>
          <w:tcPr>
            <w:tcW w:type="dxa" w:w="2160"/>
          </w:tcPr>
          <w:p>
            <w:r>
              <w:t>Aurora Labs</w:t>
            </w:r>
          </w:p>
        </w:tc>
        <w:tc>
          <w:tcPr>
            <w:tcW w:type="dxa" w:w="2160"/>
          </w:tcPr>
          <w:p>
            <w:r>
              <w:t>A. Chen</w:t>
            </w:r>
          </w:p>
        </w:tc>
        <w:tc>
          <w:tcPr>
            <w:tcW w:type="dxa" w:w="2160"/>
          </w:tcPr>
          <w:p>
            <w:r>
              <w:t>Ava Chen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Beacon Clinic</w:t>
            </w:r>
          </w:p>
        </w:tc>
        <w:tc>
          <w:tcPr>
            <w:tcW w:type="dxa" w:w="2160"/>
          </w:tcPr>
          <w:p>
            <w:r>
              <w:t>N. Patel</w:t>
            </w:r>
          </w:p>
        </w:tc>
        <w:tc>
          <w:tcPr>
            <w:tcW w:type="dxa" w:w="2160"/>
          </w:tcPr>
          <w:p>
            <w:r>
              <w:t>Noah Patel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</w:tr>
      <w:tr>
        <w:tc>
          <w:tcPr>
            <w:tcW w:type="dxa" w:w="2160"/>
          </w:tcPr>
          <w:p>
            <w:r>
              <w:t>Cedar Pay</w:t>
            </w:r>
          </w:p>
        </w:tc>
        <w:tc>
          <w:tcPr>
            <w:tcW w:type="dxa" w:w="2160"/>
          </w:tcPr>
          <w:p>
            <w:r>
              <w:t>R. Iyer</w:t>
            </w:r>
          </w:p>
        </w:tc>
        <w:tc>
          <w:tcPr>
            <w:tcW w:type="dxa" w:w="2160"/>
          </w:tcPr>
          <w:p>
            <w:r>
              <w:t>Rosa Iyer</w:t>
            </w:r>
          </w:p>
        </w:tc>
        <w:tc>
          <w:tcPr>
            <w:tcW w:type="dxa" w:w="2160"/>
          </w:tcPr>
          <w:p>
            <w:r>
              <w:t>Identity Governance</w:t>
            </w:r>
          </w:p>
        </w:tc>
      </w:tr>
      <w:tr>
        <w:tc>
          <w:tcPr>
            <w:tcW w:type="dxa" w:w="2160"/>
          </w:tcPr>
          <w:p>
            <w:r>
              <w:t>Ember Health</w:t>
            </w:r>
          </w:p>
        </w:tc>
        <w:tc>
          <w:tcPr>
            <w:tcW w:type="dxa" w:w="2160"/>
          </w:tcPr>
          <w:p>
            <w:r>
              <w:t>M. Lee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Incident Response</w:t>
            </w:r>
          </w:p>
        </w:tc>
      </w:tr>
      <w:tr>
        <w:tc>
          <w:tcPr>
            <w:tcW w:type="dxa" w:w="2160"/>
          </w:tcPr>
          <w:p>
            <w:r>
              <w:t>Finch Retail</w:t>
            </w:r>
          </w:p>
        </w:tc>
        <w:tc>
          <w:tcPr>
            <w:tcW w:type="dxa" w:w="2160"/>
          </w:tcPr>
          <w:p>
            <w:r>
              <w:t>L. Morgan</w:t>
            </w:r>
          </w:p>
        </w:tc>
        <w:tc>
          <w:tcPr>
            <w:tcW w:type="dxa" w:w="2160"/>
          </w:tcPr>
          <w:p>
            <w:r>
              <w:t>Lina Morgan</w:t>
            </w:r>
          </w:p>
        </w:tc>
        <w:tc>
          <w:tcPr>
            <w:tcW w:type="dxa" w:w="2160"/>
          </w:tcPr>
          <w:p>
            <w:r>
              <w:t>Legal Operations</w:t>
            </w:r>
          </w:p>
        </w:tc>
      </w:tr>
      <w:tr>
        <w:tc>
          <w:tcPr>
            <w:tcW w:type="dxa" w:w="2160"/>
          </w:tcPr>
          <w:p>
            <w:r>
              <w:t>Delta Foods</w:t>
            </w:r>
          </w:p>
        </w:tc>
        <w:tc>
          <w:tcPr>
            <w:tcW w:type="dxa" w:w="2160"/>
          </w:tcPr>
          <w:p>
            <w:r>
              <w:t>A. Chen</w:t>
            </w:r>
          </w:p>
        </w:tc>
        <w:tc>
          <w:tcPr>
            <w:tcW w:type="dxa" w:w="2160"/>
          </w:tcPr>
          <w:p>
            <w:r>
              <w:t>Ava Chen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</w:tbl>
    <w:p>
      <w:r>
        <w:t>Do not invent substitute owner names; use the canonical names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