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Cafe Menu Brand and Allergen Note</w:t>
      </w:r>
    </w:p>
    <w:p>
      <w:r>
        <w:t>Public menu uses plum headers, cream panels, and green allergen notice accents.</w:t>
      </w:r>
    </w:p>
    <w:p>
      <w:r>
        <w:t>Publish M-101, M-118, and M-126 on the public menu board.</w:t>
      </w:r>
    </w:p>
    <w:p>
      <w:r>
        <w:t>M-140 is staff family meal only and must not be published on the public PDF.</w:t>
      </w:r>
    </w:p>
    <w:p>
      <w:r>
        <w:t>Kitchen sheet must retain internal cross-contact notes and use landscape orientation.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