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Appeal Letter Template</w:t>
      </w:r>
    </w:p>
    <w:p>
      <w:pPr>
        <w:pStyle w:val="Heading1"/>
      </w:pPr>
      <w:r>
        <w:t>Required Sections</w:t>
      </w:r>
    </w:p>
    <w:p>
      <w:r>
        <w:t>Patient and Request; Denial Being Appealed; Medical Necessity Evidence; Step-Therapy and Safety Rationale; Requested Action; Attachments and Privacy Boundary.</w:t>
      </w:r>
    </w:p>
    <w:p>
      <w:pPr>
        <w:pStyle w:val="Heading1"/>
      </w:pPr>
      <w:r>
        <w:t>Style Note</w:t>
      </w:r>
    </w:p>
    <w:p>
      <w:r>
        <w:t>Use a direct payer-facing tone. Include attachment labels A through 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payer appeal submission; internal strategy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CONFIDENTIAL APPEAL PACKAGE - EXTERNAL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