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 Authorization Appeal Workspace</w:t>
      </w:r>
    </w:p>
    <w:p>
      <w:pPr>
        <w:pStyle w:val="Heading1"/>
      </w:pPr>
      <w:r>
        <w:t>Goal</w:t>
      </w:r>
    </w:p>
    <w:p>
      <w:r>
        <w:t>Prepare an external payer appeal letter and an internal evidence tracker workbook.</w:t>
      </w:r>
    </w:p>
    <w:p>
      <w:pPr>
        <w:pStyle w:val="Heading1"/>
      </w:pPr>
      <w:r>
        <w:t>Outputs</w:t>
      </w:r>
    </w:p>
    <w:p>
      <w:r>
        <w:t>Save prior_auth_appeal_letter.docx and appeal_evidence_tracker.xlsx in /root/submission.</w:t>
      </w:r>
    </w:p>
    <w:p>
      <w:pPr>
        <w:pStyle w:val="Heading1"/>
      </w:pPr>
      <w:r>
        <w:t>Rules</w:t>
      </w:r>
    </w:p>
    <w:p>
      <w:r>
        <w:t>Use the payer criteria, denial letter, clinical note, claims history, and prior authorization history.</w:t>
      </w:r>
    </w:p>
    <w:p>
      <w:r>
        <w:t>Do not include internal strategy notes, legal-threat language, or employer escalation language in the external letter or public workbook sheets.</w:t>
      </w:r>
    </w:p>
    <w:p>
      <w:r>
        <w:t>The appeal must be ready for submission before the 60 calendar-day deadline.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payer appeal submission; internal strategy notes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CONFIDENTIAL APPEAL PACKAGE - EXTERNAL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