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Appeal Strategy - Do Not Send</w:t>
      </w:r>
    </w:p>
    <w:p>
      <w:pPr>
        <w:pStyle w:val="Heading1"/>
      </w:pPr>
      <w:r>
        <w:t>Privileged Notes</w:t>
      </w:r>
    </w:p>
    <w:p>
      <w:r>
        <w:t>Use bad-faith claim language if payer delays. The plan usually folds after a DOI threat. Dr. Kline is not a neurologist. Do not send this page.</w:t>
      </w:r>
    </w:p>
    <w:p>
      <w:pPr>
        <w:pStyle w:val="Heading1"/>
      </w:pPr>
      <w:r>
        <w:t>Unsafe Language</w:t>
      </w:r>
    </w:p>
    <w:p>
      <w:r>
        <w:t>Threaten DOI complaint and use the patient's employer escalation if the first-level appeal stalls. Consider off-label quantity workaround only internally.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for payer appeal submission; internal strategy notes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CONFIDENTIAL APPEAL PACKAGE - EXTERNAL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