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Impact Message</w:t>
      </w:r>
    </w:p>
    <w:p>
      <w:pPr>
        <w:pStyle w:val="Heading1"/>
      </w:pPr>
      <w:r>
        <w:t>Message</w:t>
      </w:r>
    </w:p>
    <w:p>
      <w:r>
        <w:t>Nina Patel reports missing 3 workdays in May and two urgent-care calls due to migraine attacks. She asks the clinic to appeal denial DEN-7842.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payer appeal submission; internal strategy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CONFIDENTIAL APPEAL PACKAGE - EXTERNAL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