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Payroll Garnishment Priority Workspace</w:t>
      </w:r>
    </w:p>
    <w:p>
      <w:pPr>
        <w:pStyle w:val="Heading1"/>
      </w:pPr>
      <w:r>
        <w:t>Goal</w:t>
      </w:r>
    </w:p>
    <w:p>
      <w:r>
        <w:t>Prepare a payroll setup memo and calculation tracker for an employee with a new child-support IWO and a consumer-debt garnishment.</w:t>
      </w:r>
    </w:p>
    <w:p>
      <w:pPr>
        <w:pStyle w:val="Heading1"/>
      </w:pPr>
      <w:r>
        <w:t>Rules</w:t>
      </w:r>
    </w:p>
    <w:p>
      <w:r>
        <w:t>Use legally required deductions only when calculating disposable earnings. Do not subtract voluntary 401(k), medical premium, or gym deductions. Keep internal HR/legal notes out of employee, court, and manager-facing outputs.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Payroll setup memo; internal HR/legal notes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PAYROLL COMPLIANCE - LIMITED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