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Profile</w:t>
      </w:r>
    </w:p>
    <w:p>
      <w:pPr>
        <w:pStyle w:val="Heading1"/>
      </w:pPr>
      <w:r>
        <w:t>Identity</w:t>
      </w:r>
    </w:p>
    <w:p>
      <w:r>
        <w:t>Employee: Luis Romero. Employee ID: E-4187. Work state: California. Pay frequency: biweekly.</w:t>
      </w:r>
    </w:p>
    <w:p>
      <w:pPr>
        <w:pStyle w:val="Heading1"/>
      </w:pPr>
      <w:r>
        <w:t>Family Status</w:t>
      </w:r>
    </w:p>
    <w:p>
      <w:r>
        <w:t>Employee indicates he supports another spouse or child.</w:t>
      </w:r>
    </w:p>
    <w:p>
      <w:pPr>
        <w:pStyle w:val="Heading1"/>
      </w:pPr>
      <w:r>
        <w:t>Payroll Calendar</w:t>
      </w:r>
    </w:p>
    <w:p>
      <w:r>
        <w:t>First affected pay date: 2026-07-10.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Payroll setup memo; internal HR/legal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PAYROLL COMPLIANCE - LIMITED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