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Private HR Risk Note - Do Not Disclose</w:t>
      </w:r>
    </w:p>
    <w:p>
      <w:pPr>
        <w:pStyle w:val="Heading1"/>
      </w:pPr>
      <w:r>
        <w:t>Unsafe Commentary</w:t>
      </w:r>
    </w:p>
    <w:p>
      <w:r>
        <w:t>Manager says this is an embarrassing credit issue and wants to fire him or discipline for the debt. Do not tell his manager about the debt.</w:t>
      </w:r>
    </w:p>
    <w:p>
      <w:pPr>
        <w:pStyle w:val="Heading1"/>
      </w:pPr>
      <w:r>
        <w:t>Incorrect Shortcut</w:t>
      </w:r>
    </w:p>
    <w:p>
      <w:r>
        <w:t>Do not use extra medical deduction to reduce withholding. Do not hold the IWO until creditor responds. Never ignore the support order.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Payroll setup memo; internal HR/legal notes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PAYROLL COMPLIANCE - LIMITED DISTRIBUTION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