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Exhibit Production Memo</w:t>
      </w:r>
    </w:p>
    <w:p>
      <w:r>
        <w:t>Manual TOC placeholder.</w:t>
      </w:r>
    </w:p>
    <w:p>
      <w:pPr>
        <w:pStyle w:val="Heading1"/>
      </w:pPr>
      <w:r>
        <w:t>Draft Scope</w:t>
      </w:r>
    </w:p>
    <w:p>
      <w:r>
        <w:t>Produce all responsive pump-room documents, but remove privileged counsel strategy materials.</w:t>
      </w:r>
    </w:p>
    <w:p>
      <w:pPr>
        <w:pStyle w:val="Heading1"/>
      </w:pPr>
      <w:r>
        <w:t>Counsel Notes - Remove</w:t>
      </w:r>
    </w:p>
    <w:p>
      <w:r>
        <w:t>Legal strategy: emphasize reserve exposure, settlement posture, and counsel theory for pump-room notice.</w:t>
      </w:r>
    </w:p>
    <w:p>
      <w:pPr>
        <w:pStyle w:val="Heading1"/>
      </w:pPr>
      <w:r>
        <w:t>Unreviewed Candidate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Candidate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Draft Decision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PROD-001</w:t>
            </w:r>
          </w:p>
        </w:tc>
        <w:tc>
          <w:tcPr>
            <w:tcW w:type="dxa" w:w="2880"/>
          </w:tcPr>
          <w:p>
            <w:r>
              <w:t>Produce</w:t>
            </w:r>
          </w:p>
        </w:tc>
        <w:tc>
          <w:tcPr>
            <w:tcW w:type="dxa" w:w="2880"/>
          </w:tcPr>
          <w:p>
            <w:r>
              <w:t>Needs Bates</w:t>
            </w:r>
          </w:p>
        </w:tc>
      </w:tr>
      <w:tr>
        <w:tc>
          <w:tcPr>
            <w:tcW w:type="dxa" w:w="2880"/>
          </w:tcPr>
          <w:p>
            <w:r>
              <w:t>PRIV-005</w:t>
            </w:r>
          </w:p>
        </w:tc>
        <w:tc>
          <w:tcPr>
            <w:tcW w:type="dxa" w:w="2880"/>
          </w:tcPr>
          <w:p>
            <w:r>
              <w:t>Withhold</w:t>
            </w:r>
          </w:p>
        </w:tc>
        <w:tc>
          <w:tcPr>
            <w:tcW w:type="dxa" w:w="2880"/>
          </w:tcPr>
          <w:p>
            <w:r>
              <w:t>Counsel memo with legal strategy</w:t>
            </w:r>
          </w:p>
        </w:tc>
      </w:tr>
      <w:tr>
        <w:tc>
          <w:tcPr>
            <w:tcW w:type="dxa" w:w="2880"/>
          </w:tcPr>
          <w:p>
            <w:r>
              <w:t>NONRESP-009</w:t>
            </w:r>
          </w:p>
        </w:tc>
        <w:tc>
          <w:tcPr>
            <w:tcW w:type="dxa" w:w="2880"/>
          </w:tcPr>
          <w:p>
            <w:r>
              <w:t>Maybe</w:t>
            </w:r>
          </w:p>
        </w:tc>
        <w:tc>
          <w:tcPr>
            <w:tcW w:type="dxa" w:w="2880"/>
          </w:tcPr>
          <w:p>
            <w:r>
              <w:t>No pump-room content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Contains counsel notes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Draft production memo - not 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35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35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C35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