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Request and Protocol</w:t>
      </w:r>
    </w:p>
    <w:p>
      <w:r>
        <w:t>Produce responsive non-privileged pump-room documents as a single PDF exhibit binder.</w:t>
      </w:r>
    </w:p>
    <w:p>
      <w:r>
        <w:t>Bates numbering must run consecutively from ACME-000001 through ACME-000007.</w:t>
      </w:r>
    </w:p>
    <w:p>
      <w:r>
        <w:t>The exhibit binder must contain bookmarks at the first page of each produced document.</w:t>
      </w:r>
    </w:p>
    <w:p>
      <w:r>
        <w:t>Withheld privileged materials require a log containing date, document type, author, recipient, non-revealing subject matter, privilege claimed, source custodian, and status.</w:t>
      </w:r>
    </w:p>
    <w:p>
      <w:r>
        <w:t>Do not disclose counsel legal strategy, reserve exposure analysis, or settlement posture in the public binder or index memo.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35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35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C35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