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Superintendent Closeout Note</w:t>
      </w:r>
    </w:p>
    <w:p>
      <w:r>
        <w:t>PL-11 is closed and must not be carried into the follow-up tracker.</w:t>
      </w:r>
    </w:p>
    <w:p>
      <w:r>
        <w:t>W-22 is received and must not be carried into the follow-up tracker.</w:t>
      </w:r>
    </w:p>
    <w:p>
      <w:r>
        <w:t>PL-04 and W-18 are the critical follow-up items for the owner release cover.</w:t>
      </w:r>
    </w:p>
    <w:p>
      <w:r>
        <w:t>Owner release must show 2 open punchlist items and 2 open warranty follow-up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