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Mail Merge Fulfillment Workspace</w:t>
      </w:r>
    </w:p>
    <w:p>
      <w:pPr>
        <w:pStyle w:val="Heading1"/>
      </w:pPr>
      <w:r>
        <w:t>Goal</w:t>
      </w:r>
    </w:p>
    <w:p>
      <w:r>
        <w:t>Create a merged certificate/badge PDF packet and fulfillment manifest workbook.</w:t>
      </w:r>
    </w:p>
    <w:p>
      <w:pPr>
        <w:pStyle w:val="Heading1"/>
      </w:pPr>
      <w:r>
        <w:t>Rules</w:t>
      </w:r>
    </w:p>
    <w:p>
      <w:r>
        <w:t>Use the participant corrections and public accessibility notes. Exclude private payment, donor, sponsor, and staff complaint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