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Client Invoice Packet Redaction Policy</w:t>
      </w:r>
    </w:p>
    <w:p>
      <w:r>
        <w:t>For client release packets, redact Federal Tax ID and Bank Routing values on released invoice pages.</w:t>
      </w:r>
    </w:p>
    <w:p>
      <w:r>
        <w:t>Remove duplicate invoice pages and any page marked INTERNAL ONLY or Do not release.</w:t>
      </w:r>
    </w:p>
    <w:p>
      <w:r>
        <w:t>Update the cover status to Final Client Release and the cover page count to the final page count.</w:t>
      </w:r>
    </w:p>
    <w:p>
      <w:r>
        <w:t>Insert the approved remittance appendix after the released invoice pages.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