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Rights and Accessibility Note</w:t>
      </w:r>
    </w:p>
    <w:p>
      <w:r>
        <w:t>Publish wall labels for OBJ-104, OBJ-118, and OBJ-126 only.</w:t>
      </w:r>
    </w:p>
    <w:p>
      <w:r>
        <w:t>Do not publish OBJ-133 in the PPTX labels or PDF print proof.</w:t>
      </w:r>
    </w:p>
    <w:p>
      <w:r>
        <w:t>All label cards must be 6 x 4 inches and use charcoal/verdigris palette.</w:t>
      </w:r>
    </w:p>
    <w:p>
      <w:r>
        <w:t>Retain a locked reference grid slide in the PPTX for production staff.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