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Owner Notes</w:t>
      </w:r>
    </w:p>
    <w:p>
      <w:r>
        <w:t>Use canonical owner names exactly. Aliases in the draft deck must be expanded.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Canonical Owner</w:t>
            </w:r>
          </w:p>
        </w:tc>
        <w:tc>
          <w:tcPr>
            <w:tcW w:type="dxa" w:w="2160"/>
          </w:tcPr>
          <w:p>
            <w:r>
              <w:t>Required Action</w:t>
            </w:r>
          </w:p>
        </w:tc>
      </w:tr>
      <w:tr>
        <w:tc>
          <w:tcPr>
            <w:tcW w:type="dxa" w:w="2160"/>
          </w:tcPr>
          <w:p>
            <w:r>
              <w:t>Northstar Bank</w:t>
            </w:r>
          </w:p>
        </w:tc>
        <w:tc>
          <w:tcPr>
            <w:tcW w:type="dxa" w:w="2160"/>
          </w:tcPr>
          <w:p>
            <w:r>
              <w:t>P. Shah</w:t>
            </w:r>
          </w:p>
        </w:tc>
        <w:tc>
          <w:tcPr>
            <w:tcW w:type="dxa" w:w="2160"/>
          </w:tcPr>
          <w:p>
            <w:r>
              <w:t>Priya Shah</w:t>
            </w:r>
          </w:p>
        </w:tc>
        <w:tc>
          <w:tcPr>
            <w:tcW w:type="dxa" w:w="2160"/>
          </w:tcPr>
          <w:p>
            <w:r>
              <w:t>Send cleared addendum to procurement</w:t>
            </w:r>
          </w:p>
        </w:tc>
      </w:tr>
      <w:tr>
        <w:tc>
          <w:tcPr>
            <w:tcW w:type="dxa" w:w="2160"/>
          </w:tcPr>
          <w:p>
            <w:r>
              <w:t>Zenith Foods</w:t>
            </w:r>
          </w:p>
        </w:tc>
        <w:tc>
          <w:tcPr>
            <w:tcW w:type="dxa" w:w="2160"/>
          </w:tcPr>
          <w:p>
            <w:r>
              <w:t>M. Cruz</w:t>
            </w:r>
          </w:p>
        </w:tc>
        <w:tc>
          <w:tcPr>
            <w:tcW w:type="dxa" w:w="2160"/>
          </w:tcPr>
          <w:p>
            <w:r>
              <w:t>Mateo Cruz</w:t>
            </w:r>
          </w:p>
        </w:tc>
        <w:tc>
          <w:tcPr>
            <w:tcW w:type="dxa" w:w="2160"/>
          </w:tcPr>
          <w:p>
            <w:r>
              <w:t>Executive pricing review</w:t>
            </w:r>
          </w:p>
        </w:tc>
      </w:tr>
      <w:tr>
        <w:tc>
          <w:tcPr>
            <w:tcW w:type="dxa" w:w="2160"/>
          </w:tcPr>
          <w:p>
            <w:r>
              <w:t>Orion Logistics</w:t>
            </w:r>
          </w:p>
        </w:tc>
        <w:tc>
          <w:tcPr>
            <w:tcW w:type="dxa" w:w="2160"/>
          </w:tcPr>
          <w:p>
            <w:r>
              <w:t>L. Ortiz</w:t>
            </w:r>
          </w:p>
        </w:tc>
        <w:tc>
          <w:tcPr>
            <w:tcW w:type="dxa" w:w="2160"/>
          </w:tcPr>
          <w:p>
            <w:r>
              <w:t>Lena Ortiz</w:t>
            </w:r>
          </w:p>
        </w:tc>
        <w:tc>
          <w:tcPr>
            <w:tcW w:type="dxa" w:w="2160"/>
          </w:tcPr>
          <w:p>
            <w:r>
              <w:t>Confirm renewal packet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