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Utility Rebate M&amp;V Workspace</w:t>
      </w:r>
    </w:p>
    <w:p>
      <w:pPr>
        <w:pStyle w:val="Heading1"/>
      </w:pPr>
      <w:r>
        <w:t>Goal</w:t>
      </w:r>
    </w:p>
    <w:p>
      <w:r>
        <w:t>Prepare a utility-ready M&amp;V summary deck and a dynamic rebate calculation tracker.</w:t>
      </w:r>
    </w:p>
    <w:p>
      <w:pPr>
        <w:pStyle w:val="Heading1"/>
      </w:pPr>
      <w:r>
        <w:t>Rules</w:t>
      </w:r>
    </w:p>
    <w:p>
      <w:r>
        <w:t>Use only eligible above-code measures. Exclude controls-only lighting work and code-required BAS scheduling. Keep private pricing strategy out of the PPT and public workbook sheets.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pricing notes excluded from submission materials.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ENERGY REBATE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