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ASHRAE Level II Energy Audit Excerpt</w:t>
      </w:r>
    </w:p>
    <w:p>
      <w:pPr>
        <w:pStyle w:val="Heading1"/>
      </w:pPr>
      <w:r>
        <w:t>Site</w:t>
      </w:r>
    </w:p>
    <w:p>
      <w:r>
        <w:t>Harbor Point Medical Office, account HP-4481, BrightGrid service territory.</w:t>
      </w:r>
    </w:p>
    <w:p>
      <w:pPr>
        <w:pStyle w:val="Heading1"/>
      </w:pPr>
      <w:r>
        <w:t>Eligible Candidates</w:t>
      </w:r>
    </w:p>
    <w:p>
      <w:r>
        <w:t>L-101 North lobby LED retrofit: 186 fixtures, 82W existing to 28W proposed, 3,200 annual hours, DLC listed, installed cost $24,180.</w:t>
      </w:r>
    </w:p>
    <w:p>
      <w:r>
        <w:t>H-202 chilled water pump VFD: 30 hp constant-speed pump, 4,100 annual hours, installed cost $18,900.</w:t>
      </w:r>
    </w:p>
    <w:p>
      <w:r>
        <w:t>L-102 south loading dock LED retrofit: 42 fixtures, 96W existing to 34W proposed, 2,600 annual hours, DLC listed, installed cost $7,140.</w:t>
      </w:r>
    </w:p>
    <w:p>
      <w:pPr>
        <w:pStyle w:val="Heading1"/>
      </w:pPr>
      <w:r>
        <w:t>Non-Eligible Candidates</w:t>
      </w:r>
    </w:p>
    <w:p>
      <w:r>
        <w:t>Garage stairwell occupancy sensors are controls-only with no fixture wattage reduction.</w:t>
      </w:r>
    </w:p>
    <w:p>
      <w:r>
        <w:t>East wing BAS schedule adjustment is code-required after tenant buildout.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pricing notes excluded from submission materials.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ENERGY REBATE WORKPAPER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