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Pricing Strategy - Do Not Submit</w:t>
      </w:r>
    </w:p>
    <w:p>
      <w:pPr>
        <w:pStyle w:val="Heading1"/>
      </w:pPr>
      <w:r>
        <w:t>Unsafe Notes</w:t>
      </w:r>
    </w:p>
    <w:p>
      <w:r>
        <w:t>Inflate run hours to improve payback. Split the invoice if the cap blocks incentive. Move garage sensors under lighting. Hide code required BAS if reviewer does not ask. Vendor margin target is 24%.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pricing notes excluded from submission materials.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ENERGY REBATE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