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Front-of-House Signage Rebrand Workspace</w:t>
      </w:r>
    </w:p>
    <w:p>
      <w:pPr>
        <w:pStyle w:val="Heading1"/>
      </w:pPr>
      <w:r>
        <w:t>Goal</w:t>
      </w:r>
    </w:p>
    <w:p>
      <w:r>
        <w:t>Replace the legacy red template with a new Aurora Lines front-of-house deck and create a source trace workbook.</w:t>
      </w:r>
    </w:p>
    <w:p>
      <w:pPr>
        <w:pStyle w:val="Heading1"/>
      </w:pPr>
      <w:r>
        <w:t>Rules</w:t>
      </w:r>
    </w:p>
    <w:p>
      <w:r>
        <w:t>Use public-facing information only. Do not expose VIP donor, hospitality, artist hotel, or staffing-shortage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