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Contract Style Playbook</w:t>
      </w:r>
    </w:p>
    <w:p>
      <w:r>
        <w:t>Use navy headings, gold exception callouts, a real Word TOC field, and final header text: MSA Style Final | Exhibits: A-B.</w:t>
      </w:r>
    </w:p>
    <w:p>
      <w:r>
        <w:t>Promote Data Processing Addendum to Exhibit A and Service Level Credits to Exhibit B.</w:t>
      </w:r>
    </w:p>
    <w:p>
      <w:r>
        <w:t>Do not publish obsolete Exhibit C or internal pricing floor notes.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43B5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43B5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