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and Public Release Note</w:t>
      </w:r>
    </w:p>
    <w:p>
      <w:r>
        <w:t>Publish EX-102, EX-118, and EX-131 in the public appendix.</w:t>
      </w:r>
    </w:p>
    <w:p>
      <w:r>
        <w:t>Do not publish closed exception EX-144.</w:t>
      </w:r>
    </w:p>
    <w:p>
      <w:r>
        <w:t>Do not publish internal legal strategy or compensating-control implementation details.</w:t>
      </w:r>
    </w:p>
    <w:p>
      <w:r>
        <w:t>Open blocking exceptions are EX-102 and EX-131.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