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Sponsor Comment Resolution Note</w:t>
      </w:r>
    </w:p>
    <w:p>
      <w:r>
        <w:t>Expand owner aliases: P. Shah = Priya Shah; M. Cruz = Mateo Cruz; N. Patel = Noah Patel; L. Ortiz = Lena Ortiz.</w:t>
      </w:r>
    </w:p>
    <w:p>
      <w:r>
        <w:t>OBS-03 must remain internal because the supporting note includes patient initials and randomization note excerpts.</w:t>
      </w:r>
    </w:p>
    <w:p>
      <w:r>
        <w:t>External letter should include OBS-01, OBS-02, and OBS-04 only.</w:t>
      </w:r>
    </w:p>
    <w:p>
      <w:r>
        <w:t>OBS-01 and OBS-02 are urgent commitments for the external response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