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Award Recommendation</w:t>
      </w:r>
    </w:p>
    <w:p>
      <w:r>
        <w:t>Manual TOC placeholder.</w:t>
      </w:r>
    </w:p>
    <w:p>
      <w:pPr>
        <w:pStyle w:val="Heading1"/>
      </w:pPr>
      <w:r>
        <w:t>Draft Recommendation</w:t>
      </w:r>
    </w:p>
    <w:p>
      <w:r>
        <w:t>Recommend Northstar Data because it submitted the lowest price.</w:t>
      </w:r>
    </w:p>
    <w:p>
      <w:pPr>
        <w:pStyle w:val="Heading1"/>
      </w:pPr>
      <w:r>
        <w:t>Evaluator Scratch - Remove</w:t>
      </w:r>
    </w:p>
    <w:p>
      <w:r>
        <w:t>Taylor conflict with CivicStack; do not repeat Taylor's CivicStack score in the final average.</w:t>
      </w:r>
    </w:p>
    <w:p>
      <w:r>
        <w:t>Vendor confidential note: CivicStack disclosed proprietary OCR routing architecture and non-public discount floors.</w:t>
      </w:r>
    </w:p>
    <w:p>
      <w:pPr>
        <w:pStyle w:val="Heading1"/>
      </w:pPr>
      <w:r>
        <w:t>Unreconciled Vendor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2880"/>
          </w:tcPr>
          <w:p>
            <w:r>
              <w:t>Northstar Data</w:t>
            </w:r>
          </w:p>
        </w:tc>
        <w:tc>
          <w:tcPr>
            <w:tcW w:type="dxa" w:w="2880"/>
          </w:tcPr>
          <w:p>
            <w:r>
              <w:t>Lowest price</w:t>
            </w:r>
          </w:p>
        </w:tc>
        <w:tc>
          <w:tcPr>
            <w:tcW w:type="dxa" w:w="2880"/>
          </w:tcPr>
          <w:p>
            <w:r>
              <w:t>Mandatory data residency not checked</w:t>
            </w:r>
          </w:p>
        </w:tc>
      </w:tr>
      <w:tr>
        <w:tc>
          <w:tcPr>
            <w:tcW w:type="dxa" w:w="2880"/>
          </w:tcPr>
          <w:p>
            <w:r>
              <w:t>CivicStack</w:t>
            </w:r>
          </w:p>
        </w:tc>
        <w:tc>
          <w:tcPr>
            <w:tcW w:type="dxa" w:w="2880"/>
          </w:tcPr>
          <w:p>
            <w:r>
              <w:t>High technical</w:t>
            </w:r>
          </w:p>
        </w:tc>
        <w:tc>
          <w:tcPr>
            <w:tcW w:type="dxa" w:w="2880"/>
          </w:tcPr>
          <w:p>
            <w:r>
              <w:t>COI score needs exclusion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evaluator scratch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award memo - not for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