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Retail Lease Abstract</w:t>
      </w:r>
    </w:p>
    <w:p>
      <w:r>
        <w:t>Manual TOC placeholder.</w:t>
      </w:r>
    </w:p>
    <w:p>
      <w:pPr>
        <w:pStyle w:val="Heading1"/>
      </w:pPr>
      <w:r>
        <w:t>Unreconciled Renewal Option</w:t>
      </w:r>
    </w:p>
    <w:p>
      <w:r>
        <w:t>Draft says renewal notice deadline is 2028-10-31, but Amendment 2 may change it.</w:t>
      </w:r>
    </w:p>
    <w:p>
      <w:pPr>
        <w:pStyle w:val="Heading1"/>
      </w:pPr>
      <w:r>
        <w:t>Internal Renewal Strategy - Remove</w:t>
      </w:r>
    </w:p>
    <w:p>
      <w:r>
        <w:t>INT-900: internal renewal floor is $22,000/mo. Walk-away and settlement leverage strategy should not be shared with operations.</w:t>
      </w:r>
    </w:p>
    <w:p>
      <w:r>
        <w:t>Do not disclose option leverage or landlord pressure plan in the lease abstract.</w:t>
      </w:r>
    </w:p>
    <w:p>
      <w:pPr>
        <w:pStyle w:val="Heading1"/>
      </w:pPr>
      <w:r>
        <w:t>Draft Critical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Renewal notice</w:t>
            </w:r>
          </w:p>
        </w:tc>
        <w:tc>
          <w:tcPr>
            <w:tcW w:type="dxa" w:w="2880"/>
          </w:tcPr>
          <w:p>
            <w:r>
              <w:t>2028-10-31</w:t>
            </w:r>
          </w:p>
        </w:tc>
        <w:tc>
          <w:tcPr>
            <w:tcW w:type="dxa" w:w="2880"/>
          </w:tcPr>
          <w:p>
            <w:r>
              <w:t>Superseded</w:t>
            </w:r>
          </w:p>
        </w:tc>
      </w:tr>
      <w:tr>
        <w:tc>
          <w:tcPr>
            <w:tcW w:type="dxa" w:w="2880"/>
          </w:tcPr>
          <w:p>
            <w:r>
              <w:t>CAM objection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Needs cap calculation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internal strategy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lease abstract - not reviewed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