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Security Incident Notice Memo</w:t>
      </w:r>
    </w:p>
    <w:p>
      <w:r>
        <w:t>Manual TOC placeholder.</w:t>
      </w:r>
    </w:p>
    <w:p>
      <w:pPr>
        <w:pStyle w:val="Heading1"/>
      </w:pPr>
      <w:r>
        <w:t>Draft Facts</w:t>
      </w:r>
    </w:p>
    <w:p>
      <w:r>
        <w:t>Incident may involve CVE-2099-4242 and SQL injection payload details. Verify before sharing.</w:t>
      </w:r>
    </w:p>
    <w:p>
      <w:pPr>
        <w:pStyle w:val="Heading1"/>
      </w:pPr>
      <w:r>
        <w:t>Counsel Strategy - Remove</w:t>
      </w:r>
    </w:p>
    <w:p>
      <w:r>
        <w:t>Outside counsel recommends delay notice until litigation posture is clearer.</w:t>
      </w:r>
    </w:p>
    <w:p>
      <w:r>
        <w:t>Do not disclose root password rotation gap or exploit payload details.</w:t>
      </w:r>
    </w:p>
    <w:p>
      <w:pPr>
        <w:pStyle w:val="Heading1"/>
      </w:pPr>
      <w:r>
        <w:t>Unverified Notice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Deadline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2880"/>
          </w:tcPr>
          <w:p>
            <w:r>
              <w:t>Individuals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  <w:tc>
          <w:tcPr>
            <w:tcW w:type="dxa" w:w="2880"/>
          </w:tcPr>
          <w:p>
            <w:r>
              <w:t>Not confirmed</w:t>
            </w:r>
          </w:p>
        </w:tc>
      </w:tr>
      <w:tr>
        <w:tc>
          <w:tcPr>
            <w:tcW w:type="dxa" w:w="2880"/>
          </w:tcPr>
          <w:p>
            <w:r>
              <w:t>Acme Retail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Contract says 72 hours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 not distribute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incident note - privileged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