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Summary</w:t>
      </w:r>
    </w:p>
    <w:p>
      <w:r>
        <w:t>Discovery timestamp: 2026-06-12 09:15 from WAF alert EV-IR-01.</w:t>
      </w:r>
    </w:p>
    <w:p>
      <w:r>
        <w:t>Confirmed exposed table: customer portal profile export containing names, email addresses, and order IDs for 1,248 records.</w:t>
      </w:r>
    </w:p>
    <w:p>
      <w:r>
        <w:t>No payment cards, SSNs, or password hashes were confirmed exposed.</w:t>
      </w:r>
    </w:p>
    <w:p>
      <w:r>
        <w:t>Containment completed 2026-06-13 18:40 after endpoint patch, credential reset, and monitoring expansion.</w:t>
      </w:r>
    </w:p>
    <w:p>
      <w:r>
        <w:t>Exploit payload sample EV-IR-03 remains internal-only and must not be described in external notices.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