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Change Order Request</w:t>
      </w:r>
    </w:p>
    <w:p>
      <w:r>
        <w:t>Manual TOC placeholder.</w:t>
      </w:r>
    </w:p>
    <w:p>
      <w:pPr>
        <w:pStyle w:val="Heading1"/>
      </w:pPr>
      <w:r>
        <w:t>Draft Entitlement</w:t>
      </w:r>
    </w:p>
    <w:p>
      <w:r>
        <w:t>Claim 7 days and use weather as leverage if the owner resists the bypass piping change.</w:t>
      </w:r>
    </w:p>
    <w:p>
      <w:pPr>
        <w:pStyle w:val="Heading1"/>
      </w:pPr>
      <w:r>
        <w:t>Internal Strategy - Remove</w:t>
      </w:r>
    </w:p>
    <w:p>
      <w:r>
        <w:t>Internal reserve: use 18% markup as settlement anchor and walk-away posture.</w:t>
      </w:r>
    </w:p>
    <w:p>
      <w:pPr>
        <w:pStyle w:val="Heading1"/>
      </w:pPr>
      <w:r>
        <w:t>Unreconciled Cost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Draft Amount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</w:tr>
      <w:tr>
        <w:tc>
          <w:tcPr>
            <w:tcW w:type="dxa" w:w="2880"/>
          </w:tcPr>
          <w:p>
            <w:r>
              <w:t>Bypass piping</w:t>
            </w:r>
          </w:p>
        </w:tc>
        <w:tc>
          <w:tcPr>
            <w:tcW w:type="dxa" w:w="2880"/>
          </w:tcPr>
          <w:p>
            <w:r>
              <w:t>$65,000</w:t>
            </w:r>
          </w:p>
        </w:tc>
        <w:tc>
          <w:tcPr>
            <w:tcW w:type="dxa" w:w="2880"/>
          </w:tcPr>
          <w:p>
            <w:r>
              <w:t>Includes strategy markup</w:t>
            </w:r>
          </w:p>
        </w:tc>
      </w:tr>
      <w:tr>
        <w:tc>
          <w:tcPr>
            <w:tcW w:type="dxa" w:w="2880"/>
          </w:tcPr>
          <w:p>
            <w:r>
              <w:t>Weather delay</w:t>
            </w:r>
          </w:p>
        </w:tc>
        <w:tc>
          <w:tcPr>
            <w:tcW w:type="dxa" w:w="2880"/>
          </w:tcPr>
          <w:p>
            <w:r>
              <w:t>2 days</w:t>
            </w:r>
          </w:p>
        </w:tc>
        <w:tc>
          <w:tcPr>
            <w:tcW w:type="dxa" w:w="2880"/>
          </w:tcPr>
          <w:p>
            <w:r>
              <w:t>Not owner-caused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Contains internal claim strategy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change order request - not reviewed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