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Grant Reimbursement Request</w:t>
      </w:r>
    </w:p>
    <w:p>
      <w:r>
        <w:t>Manual TOC placeholder.</w:t>
      </w:r>
    </w:p>
    <w:p>
      <w:pPr>
        <w:pStyle w:val="Heading1"/>
      </w:pPr>
      <w:r>
        <w:t>Draft Drawdown</w:t>
      </w:r>
    </w:p>
    <w:p>
      <w:r>
        <w:t>Claim all disaster costs, including lobbying, catering, and bridge financing interest if needed.</w:t>
      </w:r>
    </w:p>
    <w:p>
      <w:pPr>
        <w:pStyle w:val="Heading1"/>
      </w:pPr>
      <w:r>
        <w:t>Internal Cash Strategy - Remove</w:t>
      </w:r>
    </w:p>
    <w:p>
      <w:r>
        <w:t>CASH-999: use advance draw language to cover cash-flow gap and temporary payroll float.</w:t>
      </w:r>
    </w:p>
    <w:p>
      <w:r>
        <w:t>Internal reserve: treat lobbying invoice as match if reviewer does not ask.</w:t>
      </w:r>
    </w:p>
    <w:p>
      <w:pPr>
        <w:pStyle w:val="Heading1"/>
      </w:pPr>
      <w:r>
        <w:t>Unreconciled Cost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Draft 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</w:tr>
      <w:tr>
        <w:tc>
          <w:tcPr>
            <w:tcW w:type="dxa" w:w="2880"/>
          </w:tcPr>
          <w:p>
            <w:r>
              <w:t>Eligible work</w:t>
            </w:r>
          </w:p>
        </w:tc>
        <w:tc>
          <w:tcPr>
            <w:tcW w:type="dxa" w:w="2880"/>
          </w:tcPr>
          <w:p>
            <w:r>
              <w:t>$61,650</w:t>
            </w:r>
          </w:p>
        </w:tc>
        <w:tc>
          <w:tcPr>
            <w:tcW w:type="dxa" w:w="2880"/>
          </w:tcPr>
          <w:p>
            <w:r>
              <w:t>Includes catering</w:t>
            </w:r>
          </w:p>
        </w:tc>
      </w:tr>
      <w:tr>
        <w:tc>
          <w:tcPr>
            <w:tcW w:type="dxa" w:w="2880"/>
          </w:tcPr>
          <w:p>
            <w:r>
              <w:t>Cash strategy</w:t>
            </w:r>
          </w:p>
        </w:tc>
        <w:tc>
          <w:tcPr>
            <w:tcW w:type="dxa" w:w="2880"/>
          </w:tcPr>
          <w:p>
            <w:r>
              <w:t>$1,250</w:t>
            </w:r>
          </w:p>
        </w:tc>
        <w:tc>
          <w:tcPr>
            <w:tcW w:type="dxa" w:w="2880"/>
          </w:tcPr>
          <w:p>
            <w:r>
              <w:t>Internal only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Contains internal cash strategy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reimbursement request - not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