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Progress Report</w:t>
      </w:r>
    </w:p>
    <w:p>
      <w:r>
        <w:t>Emergency debris clearance, shelter setup, generator rental, and direct administrative tracking were completed for the May 2026 storm response.</w:t>
      </w:r>
    </w:p>
    <w:p>
      <w:r>
        <w:t>Catering receipt was retained locally but is not supported for reimbursement.</w:t>
      </w:r>
    </w:p>
    <w:p>
      <w:r>
        <w:t>The project is ready for reimbursement drawdown using documented eligible costs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